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76BCA" w14:textId="77777777" w:rsidR="00442AD2" w:rsidRDefault="00B36619">
      <w:pPr>
        <w:spacing w:after="0" w:line="259" w:lineRule="auto"/>
        <w:ind w:left="0" w:firstLine="0"/>
      </w:pPr>
      <w:r>
        <w:rPr>
          <w:b/>
          <w:color w:val="0070C0"/>
          <w:sz w:val="44"/>
        </w:rPr>
        <w:t xml:space="preserve">Complaints Policy </w:t>
      </w:r>
    </w:p>
    <w:p w14:paraId="62BEE2B9" w14:textId="77777777" w:rsidR="00442AD2" w:rsidRDefault="00B36619">
      <w:pPr>
        <w:spacing w:after="231" w:line="259" w:lineRule="auto"/>
        <w:ind w:left="0" w:firstLine="0"/>
      </w:pPr>
      <w:r>
        <w:rPr>
          <w:rFonts w:ascii="Segoe UI" w:eastAsia="Segoe UI" w:hAnsi="Segoe UI" w:cs="Segoe UI"/>
          <w:color w:val="0070C0"/>
          <w:sz w:val="20"/>
        </w:rPr>
        <w:t xml:space="preserve"> </w:t>
      </w:r>
    </w:p>
    <w:p w14:paraId="500CB1D7" w14:textId="77777777" w:rsidR="00442AD2" w:rsidRDefault="00B36619">
      <w:pPr>
        <w:pStyle w:val="Heading1"/>
        <w:ind w:left="5"/>
      </w:pPr>
      <w:r>
        <w:t>Policy statement</w:t>
      </w:r>
      <w:r>
        <w:rPr>
          <w:b w:val="0"/>
        </w:rPr>
        <w:t xml:space="preserve"> </w:t>
      </w:r>
    </w:p>
    <w:p w14:paraId="120F6EC2" w14:textId="77777777" w:rsidR="00442AD2" w:rsidRDefault="00B36619">
      <w:pPr>
        <w:spacing w:after="76" w:line="304" w:lineRule="auto"/>
        <w:ind w:left="20" w:right="4"/>
      </w:pPr>
      <w:r>
        <w:t xml:space="preserve">The City of Whittlesea values and encourages community feedback. Where there are complaints about services, actions, decisions, and policies Council is committed to:  </w:t>
      </w:r>
    </w:p>
    <w:p w14:paraId="7518C04C" w14:textId="790AB6D9" w:rsidR="00442AD2" w:rsidRDefault="00B36619">
      <w:pPr>
        <w:numPr>
          <w:ilvl w:val="0"/>
          <w:numId w:val="1"/>
        </w:numPr>
        <w:spacing w:after="82"/>
        <w:ind w:left="787" w:right="4" w:hanging="426"/>
      </w:pPr>
      <w:r>
        <w:t xml:space="preserve">enabling members of the public to easily make complaints about the </w:t>
      </w:r>
      <w:proofErr w:type="gramStart"/>
      <w:r>
        <w:t>Council</w:t>
      </w:r>
      <w:proofErr w:type="gramEnd"/>
      <w:r>
        <w:t xml:space="preserve"> </w:t>
      </w:r>
    </w:p>
    <w:p w14:paraId="519609D0" w14:textId="2B1592B4" w:rsidR="00442AD2" w:rsidRDefault="00B36619">
      <w:pPr>
        <w:numPr>
          <w:ilvl w:val="0"/>
          <w:numId w:val="1"/>
        </w:numPr>
        <w:spacing w:after="1" w:line="259" w:lineRule="auto"/>
        <w:ind w:left="787" w:right="4" w:hanging="426"/>
      </w:pPr>
      <w:r>
        <w:t xml:space="preserve">responding to complaints by taking action to resolve complaints as quickly as </w:t>
      </w:r>
      <w:proofErr w:type="gramStart"/>
      <w:r>
        <w:t>possible</w:t>
      </w:r>
      <w:proofErr w:type="gramEnd"/>
      <w:r>
        <w:t xml:space="preserve"> </w:t>
      </w:r>
    </w:p>
    <w:p w14:paraId="0403411D" w14:textId="77777777" w:rsidR="00442AD2" w:rsidRDefault="00B36619">
      <w:pPr>
        <w:numPr>
          <w:ilvl w:val="0"/>
          <w:numId w:val="1"/>
        </w:numPr>
        <w:spacing w:after="156"/>
        <w:ind w:left="787" w:right="4" w:hanging="426"/>
      </w:pPr>
      <w:r>
        <w:t xml:space="preserve">learning from complaints to improve our services.   </w:t>
      </w:r>
    </w:p>
    <w:p w14:paraId="0BE5B321" w14:textId="77777777" w:rsidR="00442AD2" w:rsidRDefault="00B36619">
      <w:pPr>
        <w:spacing w:after="235"/>
        <w:ind w:left="20" w:right="4"/>
      </w:pPr>
      <w:r>
        <w:t xml:space="preserve">Every complaint received is treated on its individual merits, through clear and consistent processes.  </w:t>
      </w:r>
    </w:p>
    <w:p w14:paraId="0615B84E" w14:textId="77777777" w:rsidR="00442AD2" w:rsidRDefault="00B36619">
      <w:pPr>
        <w:spacing w:after="244"/>
        <w:ind w:left="20" w:right="4"/>
      </w:pPr>
      <w:r>
        <w:t xml:space="preserve">Councils’ complaints policy applies to all complaints from members of the public about Council staff, Council contractors, decisions by Council staff and decisions made at Council meetings. This policy does not apply to complaints about individual Councillors.   </w:t>
      </w:r>
    </w:p>
    <w:p w14:paraId="0A4C4E79" w14:textId="77777777" w:rsidR="00442AD2" w:rsidRDefault="00B36619">
      <w:pPr>
        <w:spacing w:after="100" w:line="259" w:lineRule="auto"/>
        <w:ind w:left="0" w:firstLine="0"/>
      </w:pPr>
      <w:r>
        <w:rPr>
          <w:b/>
        </w:rPr>
        <w:t>Purpose</w:t>
      </w:r>
      <w:r>
        <w:t xml:space="preserve"> </w:t>
      </w:r>
    </w:p>
    <w:p w14:paraId="2C6B2C09" w14:textId="77777777" w:rsidR="00442AD2" w:rsidRDefault="00B36619">
      <w:pPr>
        <w:spacing w:after="111"/>
        <w:ind w:left="20" w:right="4"/>
      </w:pPr>
      <w:r>
        <w:t xml:space="preserve">The Complaints Policy aims to:  </w:t>
      </w:r>
    </w:p>
    <w:p w14:paraId="268511F7" w14:textId="77777777" w:rsidR="00442AD2" w:rsidRDefault="00B36619">
      <w:pPr>
        <w:numPr>
          <w:ilvl w:val="0"/>
          <w:numId w:val="1"/>
        </w:numPr>
        <w:spacing w:after="172"/>
        <w:ind w:left="787" w:right="4" w:hanging="426"/>
      </w:pPr>
      <w:r>
        <w:t xml:space="preserve">put in place an open and transparent customer complaint handling </w:t>
      </w:r>
      <w:proofErr w:type="gramStart"/>
      <w:r>
        <w:t>system</w:t>
      </w:r>
      <w:proofErr w:type="gramEnd"/>
      <w:r>
        <w:t xml:space="preserve"> </w:t>
      </w:r>
    </w:p>
    <w:p w14:paraId="5A0EE926" w14:textId="77777777" w:rsidR="00442AD2" w:rsidRDefault="00B36619">
      <w:pPr>
        <w:numPr>
          <w:ilvl w:val="0"/>
          <w:numId w:val="1"/>
        </w:numPr>
        <w:spacing w:after="169"/>
        <w:ind w:left="787" w:right="4" w:hanging="426"/>
      </w:pPr>
      <w:r>
        <w:t xml:space="preserve">establish timeframes for addressing complaints (where statutory timelines apply, they will override the timelines in this Policy) </w:t>
      </w:r>
    </w:p>
    <w:p w14:paraId="09134E65" w14:textId="77777777" w:rsidR="00442AD2" w:rsidRDefault="00B36619">
      <w:pPr>
        <w:numPr>
          <w:ilvl w:val="0"/>
          <w:numId w:val="1"/>
        </w:numPr>
        <w:spacing w:after="172"/>
        <w:ind w:left="787" w:right="4" w:hanging="426"/>
      </w:pPr>
      <w:r>
        <w:t xml:space="preserve">ensure Council Officers handle complaints fairly and objectively, </w:t>
      </w:r>
    </w:p>
    <w:p w14:paraId="44B32845" w14:textId="77777777" w:rsidR="00442AD2" w:rsidRDefault="00B36619">
      <w:pPr>
        <w:numPr>
          <w:ilvl w:val="0"/>
          <w:numId w:val="1"/>
        </w:numPr>
        <w:spacing w:after="174"/>
        <w:ind w:left="787" w:right="4" w:hanging="426"/>
      </w:pPr>
      <w:r>
        <w:t xml:space="preserve">set out how Council Officers record and analyse complaint data to identify where we can improve our services and  </w:t>
      </w:r>
    </w:p>
    <w:p w14:paraId="281CC605" w14:textId="77777777" w:rsidR="00442AD2" w:rsidRDefault="00B36619">
      <w:pPr>
        <w:numPr>
          <w:ilvl w:val="0"/>
          <w:numId w:val="1"/>
        </w:numPr>
        <w:spacing w:after="263"/>
        <w:ind w:left="787" w:right="4" w:hanging="426"/>
      </w:pPr>
      <w:r>
        <w:t xml:space="preserve">put in place open and transparent procedures for managing unreasonable complainant conduct to ensure unreasonable complainants are dealt with fairly and objectively.  </w:t>
      </w:r>
    </w:p>
    <w:p w14:paraId="72E57751" w14:textId="77777777" w:rsidR="00442AD2" w:rsidRDefault="00B36619">
      <w:pPr>
        <w:spacing w:after="104"/>
        <w:ind w:left="20" w:right="4"/>
      </w:pPr>
      <w:r>
        <w:t xml:space="preserve">Development of a Complaints Policy is a requirement under the </w:t>
      </w:r>
      <w:r>
        <w:rPr>
          <w:i/>
        </w:rPr>
        <w:t>Local Government Act 2020</w:t>
      </w:r>
      <w:r>
        <w:t xml:space="preserve"> which states that a Council must develop and maintain a complaints policy.   </w:t>
      </w:r>
    </w:p>
    <w:p w14:paraId="681F65E5" w14:textId="77777777" w:rsidR="00442AD2" w:rsidRDefault="00B36619">
      <w:pPr>
        <w:spacing w:after="264"/>
        <w:ind w:left="20" w:right="4"/>
      </w:pPr>
      <w:r>
        <w:t xml:space="preserve">A robust Complaints Policy enables effective and consistent management of complaints and provides data that can be used to assist with service refinements and improvements.   </w:t>
      </w:r>
    </w:p>
    <w:p w14:paraId="1794EB9E" w14:textId="77777777" w:rsidR="00442AD2" w:rsidRDefault="00B36619">
      <w:pPr>
        <w:spacing w:after="76" w:line="259" w:lineRule="auto"/>
        <w:ind w:left="5"/>
      </w:pPr>
      <w:r>
        <w:rPr>
          <w:b/>
          <w:sz w:val="24"/>
        </w:rPr>
        <w:t>Scope</w:t>
      </w:r>
      <w:r>
        <w:rPr>
          <w:sz w:val="24"/>
        </w:rPr>
        <w:t xml:space="preserve"> </w:t>
      </w:r>
    </w:p>
    <w:p w14:paraId="471FD5AE" w14:textId="77777777" w:rsidR="00442AD2" w:rsidRDefault="00B36619">
      <w:pPr>
        <w:spacing w:after="255"/>
        <w:ind w:left="20" w:right="4"/>
      </w:pPr>
      <w:r>
        <w:t xml:space="preserve">This policy is applicable to all members of Council staff, volunteers, and contractors.   </w:t>
      </w:r>
    </w:p>
    <w:p w14:paraId="2B55406A" w14:textId="77777777" w:rsidR="00442AD2" w:rsidRDefault="00B36619">
      <w:pPr>
        <w:spacing w:after="0" w:line="259" w:lineRule="auto"/>
        <w:ind w:left="0" w:firstLine="0"/>
      </w:pPr>
      <w:r>
        <w:rPr>
          <w:b/>
          <w:sz w:val="24"/>
        </w:rPr>
        <w:lastRenderedPageBreak/>
        <w:t xml:space="preserve"> </w:t>
      </w:r>
    </w:p>
    <w:p w14:paraId="0094F1F0" w14:textId="77777777" w:rsidR="00442AD2" w:rsidRDefault="00B36619">
      <w:pPr>
        <w:pStyle w:val="Heading1"/>
        <w:ind w:left="5"/>
      </w:pPr>
      <w:r>
        <w:t xml:space="preserve">Alignment to Whittlesea 2040 </w:t>
      </w:r>
    </w:p>
    <w:p w14:paraId="6D1225FA" w14:textId="77777777" w:rsidR="00442AD2" w:rsidRDefault="00B36619">
      <w:pPr>
        <w:spacing w:after="114"/>
        <w:ind w:left="20" w:right="4"/>
      </w:pPr>
      <w:r>
        <w:t xml:space="preserve">The Complaints Policy primarily guides Council’s work toward the following Goal as outlined in </w:t>
      </w:r>
      <w:r>
        <w:rPr>
          <w:i/>
        </w:rPr>
        <w:t xml:space="preserve">Whittlesea 2040: A place for all: </w:t>
      </w:r>
      <w:r>
        <w:rPr>
          <w:b/>
          <w:i/>
        </w:rPr>
        <w:t>High Performing Organisation</w:t>
      </w:r>
      <w:r>
        <w:rPr>
          <w:i/>
        </w:rPr>
        <w:t xml:space="preserve"> </w:t>
      </w:r>
    </w:p>
    <w:p w14:paraId="6C47E4F3" w14:textId="77777777" w:rsidR="00442AD2" w:rsidRDefault="00B36619">
      <w:pPr>
        <w:spacing w:after="259" w:line="240" w:lineRule="auto"/>
        <w:ind w:left="-5" w:right="-3"/>
        <w:jc w:val="both"/>
      </w:pPr>
      <w:r>
        <w:t xml:space="preserve">This Policy aims to support Key Direction 1: Driving better community outcomes, whereby our community finds it easy to interact with Council. This Policy aims to increase customer service satisfaction and ensure how community felt heard and trust that their matters are dealt with. </w:t>
      </w:r>
    </w:p>
    <w:p w14:paraId="1D2730B2" w14:textId="77777777" w:rsidR="00442AD2" w:rsidRDefault="00B36619">
      <w:pPr>
        <w:pStyle w:val="Heading1"/>
        <w:ind w:left="5"/>
      </w:pPr>
      <w:r>
        <w:t xml:space="preserve">Overarching Governance Principles </w:t>
      </w:r>
    </w:p>
    <w:p w14:paraId="0383DE3B" w14:textId="77777777" w:rsidR="00442AD2" w:rsidRDefault="00B36619">
      <w:pPr>
        <w:spacing w:after="10"/>
        <w:ind w:left="20" w:right="4"/>
      </w:pPr>
      <w:r>
        <w:t xml:space="preserve">The development of this Policy considered the </w:t>
      </w:r>
      <w:r>
        <w:rPr>
          <w:i/>
        </w:rPr>
        <w:t>Local Government Act 2020’s</w:t>
      </w:r>
      <w:r>
        <w:t xml:space="preserve"> Overarching Governance Principles and the following were applied: </w:t>
      </w:r>
    </w:p>
    <w:tbl>
      <w:tblPr>
        <w:tblStyle w:val="TableGrid"/>
        <w:tblW w:w="9129" w:type="dxa"/>
        <w:tblInd w:w="-50" w:type="dxa"/>
        <w:tblCellMar>
          <w:left w:w="105" w:type="dxa"/>
          <w:right w:w="137" w:type="dxa"/>
        </w:tblCellMar>
        <w:tblLook w:val="04A0" w:firstRow="1" w:lastRow="0" w:firstColumn="1" w:lastColumn="0" w:noHBand="0" w:noVBand="1"/>
      </w:tblPr>
      <w:tblGrid>
        <w:gridCol w:w="1986"/>
        <w:gridCol w:w="680"/>
        <w:gridCol w:w="565"/>
        <w:gridCol w:w="1986"/>
        <w:gridCol w:w="680"/>
        <w:gridCol w:w="566"/>
        <w:gridCol w:w="1985"/>
        <w:gridCol w:w="681"/>
      </w:tblGrid>
      <w:tr w:rsidR="00442AD2" w14:paraId="6913F1FF" w14:textId="77777777">
        <w:trPr>
          <w:trHeight w:val="740"/>
        </w:trPr>
        <w:tc>
          <w:tcPr>
            <w:tcW w:w="1986" w:type="dxa"/>
            <w:tcBorders>
              <w:top w:val="single" w:sz="4" w:space="0" w:color="000000"/>
              <w:left w:val="single" w:sz="4" w:space="0" w:color="000000"/>
              <w:bottom w:val="single" w:sz="4" w:space="0" w:color="000000"/>
              <w:right w:val="single" w:sz="4" w:space="0" w:color="000000"/>
            </w:tcBorders>
            <w:vAlign w:val="center"/>
          </w:tcPr>
          <w:p w14:paraId="74F12E6F" w14:textId="77777777" w:rsidR="00442AD2" w:rsidRDefault="00B36619">
            <w:pPr>
              <w:spacing w:after="0" w:line="259" w:lineRule="auto"/>
              <w:ind w:left="5" w:firstLine="0"/>
            </w:pPr>
            <w:r>
              <w:rPr>
                <w:b/>
                <w:sz w:val="20"/>
              </w:rPr>
              <w:t>Lawful</w:t>
            </w:r>
            <w:r>
              <w:rPr>
                <w:color w:val="A6A6A6"/>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638F5095" w14:textId="77777777" w:rsidR="00442AD2" w:rsidRDefault="00B36619">
            <w:pPr>
              <w:spacing w:after="0" w:line="259" w:lineRule="auto"/>
              <w:ind w:left="90" w:firstLine="0"/>
            </w:pPr>
            <w:r>
              <w:rPr>
                <w:rFonts w:ascii="MS Gothic" w:eastAsia="MS Gothic" w:hAnsi="MS Gothic" w:cs="MS Gothic"/>
                <w:sz w:val="28"/>
              </w:rPr>
              <w:t>☐</w:t>
            </w:r>
            <w:r>
              <w:rPr>
                <w:color w:val="A6A6A6"/>
                <w:sz w:val="28"/>
              </w:rPr>
              <w:t xml:space="preserve"> </w:t>
            </w:r>
          </w:p>
        </w:tc>
        <w:tc>
          <w:tcPr>
            <w:tcW w:w="565" w:type="dxa"/>
            <w:tcBorders>
              <w:top w:val="single" w:sz="4" w:space="0" w:color="FFFFFF"/>
              <w:left w:val="single" w:sz="4" w:space="0" w:color="000000"/>
              <w:bottom w:val="single" w:sz="4" w:space="0" w:color="FFFFFF"/>
              <w:right w:val="single" w:sz="4" w:space="0" w:color="000000"/>
            </w:tcBorders>
            <w:vAlign w:val="center"/>
          </w:tcPr>
          <w:p w14:paraId="0C135280" w14:textId="77777777" w:rsidR="00442AD2" w:rsidRDefault="00B36619">
            <w:pPr>
              <w:spacing w:after="0" w:line="259" w:lineRule="auto"/>
              <w:ind w:left="0" w:firstLine="0"/>
            </w:pPr>
            <w:r>
              <w:rPr>
                <w:b/>
                <w:sz w:val="20"/>
              </w:rPr>
              <w:t xml:space="preserve"> </w:t>
            </w:r>
          </w:p>
        </w:tc>
        <w:tc>
          <w:tcPr>
            <w:tcW w:w="1986" w:type="dxa"/>
            <w:tcBorders>
              <w:top w:val="single" w:sz="4" w:space="0" w:color="000000"/>
              <w:left w:val="single" w:sz="4" w:space="0" w:color="000000"/>
              <w:bottom w:val="single" w:sz="4" w:space="0" w:color="000000"/>
              <w:right w:val="single" w:sz="4" w:space="0" w:color="000000"/>
            </w:tcBorders>
            <w:vAlign w:val="center"/>
          </w:tcPr>
          <w:p w14:paraId="5C50C154" w14:textId="77777777" w:rsidR="00442AD2" w:rsidRDefault="00B36619">
            <w:pPr>
              <w:spacing w:after="0" w:line="259" w:lineRule="auto"/>
              <w:ind w:left="5" w:firstLine="0"/>
            </w:pPr>
            <w:r>
              <w:rPr>
                <w:b/>
                <w:sz w:val="20"/>
              </w:rPr>
              <w:t>Community engagement</w:t>
            </w:r>
            <w:r>
              <w:rPr>
                <w:color w:val="A6A6A6"/>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2115A2A3" w14:textId="77777777" w:rsidR="00442AD2" w:rsidRDefault="00B36619">
            <w:pPr>
              <w:spacing w:after="0" w:line="259" w:lineRule="auto"/>
              <w:ind w:left="95" w:firstLine="0"/>
            </w:pPr>
            <w:r>
              <w:rPr>
                <w:rFonts w:ascii="MS Gothic" w:eastAsia="MS Gothic" w:hAnsi="MS Gothic" w:cs="MS Gothic"/>
                <w:sz w:val="28"/>
              </w:rPr>
              <w:t>☐</w:t>
            </w:r>
            <w:r>
              <w:rPr>
                <w:color w:val="A6A6A6"/>
                <w:sz w:val="28"/>
              </w:rPr>
              <w:t xml:space="preserve"> </w:t>
            </w:r>
          </w:p>
        </w:tc>
        <w:tc>
          <w:tcPr>
            <w:tcW w:w="566" w:type="dxa"/>
            <w:vMerge w:val="restart"/>
            <w:tcBorders>
              <w:top w:val="nil"/>
              <w:left w:val="single" w:sz="4" w:space="0" w:color="000000"/>
              <w:bottom w:val="nil"/>
              <w:right w:val="single" w:sz="4" w:space="0" w:color="000000"/>
            </w:tcBorders>
            <w:vAlign w:val="center"/>
          </w:tcPr>
          <w:p w14:paraId="560D0900" w14:textId="77777777" w:rsidR="00442AD2" w:rsidRDefault="00B36619">
            <w:pPr>
              <w:spacing w:after="476" w:line="259" w:lineRule="auto"/>
              <w:ind w:left="5" w:firstLine="0"/>
            </w:pPr>
            <w:r>
              <w:rPr>
                <w:b/>
                <w:sz w:val="20"/>
              </w:rPr>
              <w:t xml:space="preserve"> </w:t>
            </w:r>
          </w:p>
          <w:p w14:paraId="4D1F3145" w14:textId="77777777" w:rsidR="00442AD2" w:rsidRDefault="00B36619">
            <w:pPr>
              <w:spacing w:after="477" w:line="259" w:lineRule="auto"/>
              <w:ind w:left="5" w:firstLine="0"/>
            </w:pPr>
            <w:r>
              <w:rPr>
                <w:b/>
                <w:sz w:val="20"/>
              </w:rPr>
              <w:t xml:space="preserve"> </w:t>
            </w:r>
          </w:p>
          <w:p w14:paraId="40B20FF7" w14:textId="77777777" w:rsidR="00442AD2" w:rsidRDefault="00B36619">
            <w:pPr>
              <w:spacing w:after="0" w:line="259" w:lineRule="auto"/>
              <w:ind w:left="5" w:firstLine="0"/>
            </w:pPr>
            <w:r>
              <w:rPr>
                <w:b/>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A1B3FCA" w14:textId="77777777" w:rsidR="00442AD2" w:rsidRDefault="00B36619">
            <w:pPr>
              <w:spacing w:after="0" w:line="259" w:lineRule="auto"/>
              <w:ind w:left="4" w:firstLine="0"/>
            </w:pPr>
            <w:r>
              <w:rPr>
                <w:b/>
                <w:sz w:val="20"/>
              </w:rPr>
              <w:t xml:space="preserve">Financially viable </w:t>
            </w:r>
          </w:p>
        </w:tc>
        <w:tc>
          <w:tcPr>
            <w:tcW w:w="681" w:type="dxa"/>
            <w:tcBorders>
              <w:top w:val="single" w:sz="4" w:space="0" w:color="000000"/>
              <w:left w:val="single" w:sz="4" w:space="0" w:color="000000"/>
              <w:bottom w:val="single" w:sz="4" w:space="0" w:color="000000"/>
              <w:right w:val="single" w:sz="4" w:space="0" w:color="000000"/>
            </w:tcBorders>
            <w:vAlign w:val="center"/>
          </w:tcPr>
          <w:p w14:paraId="526ADFAE" w14:textId="77777777" w:rsidR="00442AD2" w:rsidRDefault="00B36619">
            <w:pPr>
              <w:spacing w:after="0" w:line="259" w:lineRule="auto"/>
              <w:ind w:left="95" w:firstLine="0"/>
            </w:pPr>
            <w:r>
              <w:rPr>
                <w:rFonts w:ascii="MS Gothic" w:eastAsia="MS Gothic" w:hAnsi="MS Gothic" w:cs="MS Gothic"/>
                <w:sz w:val="28"/>
              </w:rPr>
              <w:t>☐</w:t>
            </w:r>
            <w:r>
              <w:rPr>
                <w:b/>
                <w:sz w:val="28"/>
              </w:rPr>
              <w:t xml:space="preserve"> </w:t>
            </w:r>
          </w:p>
        </w:tc>
      </w:tr>
      <w:tr w:rsidR="00442AD2" w14:paraId="37040763" w14:textId="77777777">
        <w:trPr>
          <w:trHeight w:val="735"/>
        </w:trPr>
        <w:tc>
          <w:tcPr>
            <w:tcW w:w="1986" w:type="dxa"/>
            <w:tcBorders>
              <w:top w:val="single" w:sz="4" w:space="0" w:color="000000"/>
              <w:left w:val="single" w:sz="4" w:space="0" w:color="000000"/>
              <w:bottom w:val="single" w:sz="4" w:space="0" w:color="000000"/>
              <w:right w:val="single" w:sz="4" w:space="0" w:color="000000"/>
            </w:tcBorders>
            <w:vAlign w:val="center"/>
          </w:tcPr>
          <w:p w14:paraId="3D37B108" w14:textId="77777777" w:rsidR="00442AD2" w:rsidRDefault="00B36619">
            <w:pPr>
              <w:spacing w:after="0" w:line="259" w:lineRule="auto"/>
              <w:ind w:left="5" w:firstLine="0"/>
            </w:pPr>
            <w:r>
              <w:rPr>
                <w:b/>
                <w:sz w:val="20"/>
              </w:rPr>
              <w:t>Best community outcome</w:t>
            </w:r>
            <w:r>
              <w:rPr>
                <w:color w:val="A6A6A6"/>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1C8F613E" w14:textId="77777777" w:rsidR="00442AD2" w:rsidRDefault="00B36619">
            <w:pPr>
              <w:spacing w:after="0" w:line="259" w:lineRule="auto"/>
              <w:ind w:left="90" w:firstLine="0"/>
            </w:pPr>
            <w:r>
              <w:rPr>
                <w:rFonts w:ascii="MS Gothic" w:eastAsia="MS Gothic" w:hAnsi="MS Gothic" w:cs="MS Gothic"/>
                <w:sz w:val="28"/>
              </w:rPr>
              <w:t>☒</w:t>
            </w:r>
            <w:r>
              <w:rPr>
                <w:color w:val="A6A6A6"/>
                <w:sz w:val="28"/>
              </w:rPr>
              <w:t xml:space="preserve"> </w:t>
            </w:r>
          </w:p>
        </w:tc>
        <w:tc>
          <w:tcPr>
            <w:tcW w:w="565" w:type="dxa"/>
            <w:tcBorders>
              <w:top w:val="single" w:sz="4" w:space="0" w:color="FFFFFF"/>
              <w:left w:val="single" w:sz="4" w:space="0" w:color="000000"/>
              <w:bottom w:val="single" w:sz="4" w:space="0" w:color="FFFFFF"/>
              <w:right w:val="single" w:sz="4" w:space="0" w:color="000000"/>
            </w:tcBorders>
            <w:vAlign w:val="center"/>
          </w:tcPr>
          <w:p w14:paraId="43923920" w14:textId="77777777" w:rsidR="00442AD2" w:rsidRDefault="00B36619">
            <w:pPr>
              <w:spacing w:after="0" w:line="259" w:lineRule="auto"/>
              <w:ind w:left="0" w:firstLine="0"/>
            </w:pPr>
            <w:r>
              <w:rPr>
                <w:b/>
                <w:sz w:val="20"/>
              </w:rPr>
              <w:t xml:space="preserve"> </w:t>
            </w:r>
          </w:p>
        </w:tc>
        <w:tc>
          <w:tcPr>
            <w:tcW w:w="1986" w:type="dxa"/>
            <w:tcBorders>
              <w:top w:val="single" w:sz="4" w:space="0" w:color="000000"/>
              <w:left w:val="single" w:sz="4" w:space="0" w:color="000000"/>
              <w:bottom w:val="single" w:sz="4" w:space="0" w:color="000000"/>
              <w:right w:val="single" w:sz="4" w:space="0" w:color="000000"/>
            </w:tcBorders>
            <w:vAlign w:val="center"/>
          </w:tcPr>
          <w:p w14:paraId="5BA663E7" w14:textId="77777777" w:rsidR="00442AD2" w:rsidRDefault="00B36619">
            <w:pPr>
              <w:spacing w:after="0" w:line="259" w:lineRule="auto"/>
              <w:ind w:left="5" w:firstLine="0"/>
            </w:pPr>
            <w:r>
              <w:rPr>
                <w:b/>
                <w:sz w:val="20"/>
              </w:rPr>
              <w:t>Innovation &amp; improvement</w:t>
            </w:r>
            <w:r>
              <w:rPr>
                <w:color w:val="A6A6A6"/>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1953889C" w14:textId="77777777" w:rsidR="00442AD2" w:rsidRDefault="00B36619">
            <w:pPr>
              <w:spacing w:after="0" w:line="259" w:lineRule="auto"/>
              <w:ind w:left="95" w:firstLine="0"/>
            </w:pPr>
            <w:r>
              <w:rPr>
                <w:rFonts w:ascii="MS Gothic" w:eastAsia="MS Gothic" w:hAnsi="MS Gothic" w:cs="MS Gothic"/>
                <w:sz w:val="28"/>
              </w:rPr>
              <w:t>☒</w:t>
            </w:r>
            <w:r>
              <w:rPr>
                <w:color w:val="A6A6A6"/>
                <w:sz w:val="28"/>
              </w:rPr>
              <w:t xml:space="preserve"> </w:t>
            </w:r>
          </w:p>
        </w:tc>
        <w:tc>
          <w:tcPr>
            <w:tcW w:w="0" w:type="auto"/>
            <w:vMerge/>
            <w:tcBorders>
              <w:top w:val="nil"/>
              <w:left w:val="single" w:sz="4" w:space="0" w:color="000000"/>
              <w:bottom w:val="nil"/>
              <w:right w:val="single" w:sz="4" w:space="0" w:color="000000"/>
            </w:tcBorders>
          </w:tcPr>
          <w:p w14:paraId="34AC8D88" w14:textId="77777777" w:rsidR="00442AD2" w:rsidRDefault="00442AD2">
            <w:pPr>
              <w:spacing w:after="160" w:line="259" w:lineRule="auto"/>
              <w:ind w:left="0" w:firstLine="0"/>
            </w:pPr>
          </w:p>
        </w:tc>
        <w:tc>
          <w:tcPr>
            <w:tcW w:w="1985" w:type="dxa"/>
            <w:tcBorders>
              <w:top w:val="single" w:sz="4" w:space="0" w:color="000000"/>
              <w:left w:val="single" w:sz="4" w:space="0" w:color="000000"/>
              <w:bottom w:val="single" w:sz="4" w:space="0" w:color="000000"/>
              <w:right w:val="single" w:sz="4" w:space="0" w:color="000000"/>
            </w:tcBorders>
            <w:vAlign w:val="center"/>
          </w:tcPr>
          <w:p w14:paraId="5ABE7179" w14:textId="77777777" w:rsidR="00442AD2" w:rsidRDefault="00B36619">
            <w:pPr>
              <w:spacing w:after="0" w:line="259" w:lineRule="auto"/>
              <w:ind w:left="4" w:firstLine="0"/>
            </w:pPr>
            <w:r>
              <w:rPr>
                <w:b/>
                <w:sz w:val="20"/>
              </w:rPr>
              <w:t xml:space="preserve">Consistent with government plans </w:t>
            </w:r>
          </w:p>
        </w:tc>
        <w:tc>
          <w:tcPr>
            <w:tcW w:w="681" w:type="dxa"/>
            <w:tcBorders>
              <w:top w:val="single" w:sz="4" w:space="0" w:color="000000"/>
              <w:left w:val="single" w:sz="4" w:space="0" w:color="000000"/>
              <w:bottom w:val="single" w:sz="4" w:space="0" w:color="000000"/>
              <w:right w:val="single" w:sz="4" w:space="0" w:color="000000"/>
            </w:tcBorders>
            <w:vAlign w:val="center"/>
          </w:tcPr>
          <w:p w14:paraId="57140B58" w14:textId="77777777" w:rsidR="00442AD2" w:rsidRDefault="00B36619">
            <w:pPr>
              <w:spacing w:after="0" w:line="259" w:lineRule="auto"/>
              <w:ind w:left="95" w:firstLine="0"/>
            </w:pPr>
            <w:r>
              <w:rPr>
                <w:rFonts w:ascii="MS Gothic" w:eastAsia="MS Gothic" w:hAnsi="MS Gothic" w:cs="MS Gothic"/>
                <w:sz w:val="28"/>
              </w:rPr>
              <w:t>☐</w:t>
            </w:r>
            <w:r>
              <w:rPr>
                <w:b/>
                <w:sz w:val="28"/>
              </w:rPr>
              <w:t xml:space="preserve"> </w:t>
            </w:r>
          </w:p>
        </w:tc>
      </w:tr>
      <w:tr w:rsidR="00442AD2" w14:paraId="10D30984" w14:textId="77777777">
        <w:trPr>
          <w:trHeight w:val="740"/>
        </w:trPr>
        <w:tc>
          <w:tcPr>
            <w:tcW w:w="1986" w:type="dxa"/>
            <w:tcBorders>
              <w:top w:val="single" w:sz="4" w:space="0" w:color="000000"/>
              <w:left w:val="single" w:sz="4" w:space="0" w:color="000000"/>
              <w:bottom w:val="single" w:sz="4" w:space="0" w:color="000000"/>
              <w:right w:val="single" w:sz="4" w:space="0" w:color="000000"/>
            </w:tcBorders>
            <w:vAlign w:val="center"/>
          </w:tcPr>
          <w:p w14:paraId="309C2154" w14:textId="77777777" w:rsidR="00442AD2" w:rsidRDefault="00B36619">
            <w:pPr>
              <w:spacing w:after="0" w:line="259" w:lineRule="auto"/>
              <w:ind w:left="5" w:firstLine="0"/>
            </w:pPr>
            <w:r>
              <w:rPr>
                <w:b/>
                <w:sz w:val="20"/>
              </w:rPr>
              <w:t>Sustainable</w:t>
            </w:r>
            <w:r>
              <w:rPr>
                <w:color w:val="A6A6A6"/>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70B76E7A" w14:textId="77777777" w:rsidR="00442AD2" w:rsidRDefault="00B36619">
            <w:pPr>
              <w:spacing w:after="0" w:line="259" w:lineRule="auto"/>
              <w:ind w:left="90" w:firstLine="0"/>
            </w:pPr>
            <w:r>
              <w:rPr>
                <w:rFonts w:ascii="MS Gothic" w:eastAsia="MS Gothic" w:hAnsi="MS Gothic" w:cs="MS Gothic"/>
                <w:sz w:val="28"/>
              </w:rPr>
              <w:t>☐</w:t>
            </w:r>
            <w:r>
              <w:rPr>
                <w:color w:val="A6A6A6"/>
                <w:sz w:val="28"/>
              </w:rPr>
              <w:t xml:space="preserve"> </w:t>
            </w:r>
          </w:p>
        </w:tc>
        <w:tc>
          <w:tcPr>
            <w:tcW w:w="565" w:type="dxa"/>
            <w:tcBorders>
              <w:top w:val="single" w:sz="4" w:space="0" w:color="FFFFFF"/>
              <w:left w:val="single" w:sz="4" w:space="0" w:color="000000"/>
              <w:bottom w:val="nil"/>
              <w:right w:val="single" w:sz="4" w:space="0" w:color="000000"/>
            </w:tcBorders>
            <w:vAlign w:val="center"/>
          </w:tcPr>
          <w:p w14:paraId="48162BCA" w14:textId="77777777" w:rsidR="00442AD2" w:rsidRDefault="00B36619">
            <w:pPr>
              <w:spacing w:after="0" w:line="259" w:lineRule="auto"/>
              <w:ind w:left="0" w:firstLine="0"/>
            </w:pPr>
            <w:r>
              <w:rPr>
                <w:b/>
                <w:sz w:val="20"/>
              </w:rPr>
              <w:t xml:space="preserve"> </w:t>
            </w:r>
          </w:p>
        </w:tc>
        <w:tc>
          <w:tcPr>
            <w:tcW w:w="1986" w:type="dxa"/>
            <w:tcBorders>
              <w:top w:val="single" w:sz="4" w:space="0" w:color="000000"/>
              <w:left w:val="single" w:sz="4" w:space="0" w:color="000000"/>
              <w:bottom w:val="single" w:sz="4" w:space="0" w:color="000000"/>
              <w:right w:val="single" w:sz="4" w:space="0" w:color="000000"/>
            </w:tcBorders>
            <w:vAlign w:val="center"/>
          </w:tcPr>
          <w:p w14:paraId="159ACCC3" w14:textId="77777777" w:rsidR="00442AD2" w:rsidRDefault="00B36619">
            <w:pPr>
              <w:spacing w:after="0" w:line="259" w:lineRule="auto"/>
              <w:ind w:left="5" w:firstLine="0"/>
              <w:jc w:val="both"/>
            </w:pPr>
            <w:r>
              <w:rPr>
                <w:b/>
                <w:sz w:val="20"/>
              </w:rPr>
              <w:t>Collaboration with government bodies</w:t>
            </w:r>
            <w:r>
              <w:rPr>
                <w:color w:val="A6A6A6"/>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6EAE094A" w14:textId="77777777" w:rsidR="00442AD2" w:rsidRDefault="00B36619">
            <w:pPr>
              <w:spacing w:after="0" w:line="259" w:lineRule="auto"/>
              <w:ind w:left="95" w:firstLine="0"/>
            </w:pPr>
            <w:r>
              <w:rPr>
                <w:rFonts w:ascii="MS Gothic" w:eastAsia="MS Gothic" w:hAnsi="MS Gothic" w:cs="MS Gothic"/>
                <w:sz w:val="28"/>
              </w:rPr>
              <w:t>☐</w:t>
            </w:r>
            <w:r>
              <w:rPr>
                <w:color w:val="A6A6A6"/>
                <w:sz w:val="28"/>
              </w:rPr>
              <w:t xml:space="preserve"> </w:t>
            </w:r>
          </w:p>
        </w:tc>
        <w:tc>
          <w:tcPr>
            <w:tcW w:w="0" w:type="auto"/>
            <w:vMerge/>
            <w:tcBorders>
              <w:top w:val="nil"/>
              <w:left w:val="single" w:sz="4" w:space="0" w:color="000000"/>
              <w:bottom w:val="nil"/>
              <w:right w:val="single" w:sz="4" w:space="0" w:color="000000"/>
            </w:tcBorders>
          </w:tcPr>
          <w:p w14:paraId="25A73B6B" w14:textId="77777777" w:rsidR="00442AD2" w:rsidRDefault="00442AD2">
            <w:pPr>
              <w:spacing w:after="160" w:line="259" w:lineRule="auto"/>
              <w:ind w:left="0" w:firstLine="0"/>
            </w:pPr>
          </w:p>
        </w:tc>
        <w:tc>
          <w:tcPr>
            <w:tcW w:w="1985" w:type="dxa"/>
            <w:tcBorders>
              <w:top w:val="single" w:sz="4" w:space="0" w:color="000000"/>
              <w:left w:val="single" w:sz="4" w:space="0" w:color="000000"/>
              <w:bottom w:val="single" w:sz="4" w:space="0" w:color="000000"/>
              <w:right w:val="single" w:sz="4" w:space="0" w:color="000000"/>
            </w:tcBorders>
            <w:vAlign w:val="center"/>
          </w:tcPr>
          <w:p w14:paraId="1B9F4221" w14:textId="77777777" w:rsidR="00442AD2" w:rsidRDefault="00B36619">
            <w:pPr>
              <w:spacing w:after="0" w:line="259" w:lineRule="auto"/>
              <w:ind w:left="4" w:firstLine="0"/>
            </w:pPr>
            <w:r>
              <w:rPr>
                <w:b/>
                <w:sz w:val="20"/>
              </w:rPr>
              <w:t xml:space="preserve">Transparent </w:t>
            </w:r>
          </w:p>
        </w:tc>
        <w:tc>
          <w:tcPr>
            <w:tcW w:w="681" w:type="dxa"/>
            <w:tcBorders>
              <w:top w:val="single" w:sz="4" w:space="0" w:color="000000"/>
              <w:left w:val="single" w:sz="4" w:space="0" w:color="000000"/>
              <w:bottom w:val="single" w:sz="4" w:space="0" w:color="000000"/>
              <w:right w:val="single" w:sz="4" w:space="0" w:color="000000"/>
            </w:tcBorders>
            <w:vAlign w:val="center"/>
          </w:tcPr>
          <w:p w14:paraId="47B89FB0" w14:textId="77777777" w:rsidR="00442AD2" w:rsidRDefault="00B36619">
            <w:pPr>
              <w:spacing w:after="0" w:line="259" w:lineRule="auto"/>
              <w:ind w:left="95" w:firstLine="0"/>
            </w:pPr>
            <w:r>
              <w:rPr>
                <w:rFonts w:ascii="MS Gothic" w:eastAsia="MS Gothic" w:hAnsi="MS Gothic" w:cs="MS Gothic"/>
                <w:sz w:val="28"/>
              </w:rPr>
              <w:t>☒</w:t>
            </w:r>
            <w:r>
              <w:rPr>
                <w:b/>
                <w:sz w:val="28"/>
              </w:rPr>
              <w:t xml:space="preserve"> </w:t>
            </w:r>
          </w:p>
        </w:tc>
      </w:tr>
    </w:tbl>
    <w:p w14:paraId="0B20D9FC" w14:textId="77777777" w:rsidR="00442AD2" w:rsidRDefault="00B36619">
      <w:pPr>
        <w:spacing w:after="100" w:line="259" w:lineRule="auto"/>
        <w:ind w:left="0" w:firstLine="0"/>
      </w:pPr>
      <w:r>
        <w:rPr>
          <w:b/>
        </w:rPr>
        <w:t xml:space="preserve"> </w:t>
      </w:r>
    </w:p>
    <w:p w14:paraId="06574189" w14:textId="77777777" w:rsidR="00442AD2" w:rsidRDefault="00B36619">
      <w:pPr>
        <w:spacing w:after="116" w:line="240" w:lineRule="auto"/>
        <w:ind w:left="-5" w:right="-3"/>
        <w:jc w:val="both"/>
      </w:pPr>
      <w:r>
        <w:rPr>
          <w:b/>
        </w:rPr>
        <w:t>Best Community Outcome and Innovation and Improvement:</w:t>
      </w:r>
      <w:r>
        <w:t xml:space="preserve"> This Policy has been developed with the intention to provide a satisfactory outcome when addressing complaints received from community. Furthermore, such matters raised can contributes to improved ways of working and service delivery, which supports better outcomes for our residents. </w:t>
      </w:r>
    </w:p>
    <w:p w14:paraId="5C79E5F5" w14:textId="77777777" w:rsidR="00442AD2" w:rsidRDefault="00B36619">
      <w:pPr>
        <w:spacing w:after="259" w:line="240" w:lineRule="auto"/>
        <w:ind w:left="-5" w:right="-3"/>
        <w:jc w:val="both"/>
      </w:pPr>
      <w:r>
        <w:rPr>
          <w:b/>
        </w:rPr>
        <w:t>Transparent:</w:t>
      </w:r>
      <w:r>
        <w:t xml:space="preserve"> This Policy has been developed to ensure transparency between Council and the complainant is clear and that all matters are addressed and informed responses are provided back to the complainant. </w:t>
      </w:r>
    </w:p>
    <w:p w14:paraId="4B77C2E4" w14:textId="5BE6C197" w:rsidR="00442AD2" w:rsidRDefault="00B36619">
      <w:pPr>
        <w:spacing w:after="212" w:line="244" w:lineRule="auto"/>
        <w:ind w:left="0" w:firstLine="0"/>
        <w:jc w:val="both"/>
      </w:pPr>
      <w:r>
        <w:rPr>
          <w:b/>
          <w:sz w:val="24"/>
        </w:rPr>
        <w:t>Gender Equality, Climate Change, Human Rights and Child Safe Compliance</w:t>
      </w:r>
      <w:r w:rsidR="00277715">
        <w:rPr>
          <w:b/>
          <w:sz w:val="24"/>
        </w:rPr>
        <w:t xml:space="preserve">: </w:t>
      </w:r>
      <w:r>
        <w:t xml:space="preserve">All City of Whittlesea policies comply with the </w:t>
      </w:r>
      <w:r>
        <w:rPr>
          <w:i/>
        </w:rPr>
        <w:t xml:space="preserve">Victorian Charter of Human Rights and Responsibilities, Gender Equality Act, Climate Change </w:t>
      </w:r>
      <w:proofErr w:type="gramStart"/>
      <w:r>
        <w:rPr>
          <w:i/>
        </w:rPr>
        <w:t>Act</w:t>
      </w:r>
      <w:proofErr w:type="gramEnd"/>
      <w:r>
        <w:rPr>
          <w:i/>
        </w:rPr>
        <w:t xml:space="preserve"> </w:t>
      </w:r>
      <w:r>
        <w:t xml:space="preserve">and the </w:t>
      </w:r>
      <w:r>
        <w:rPr>
          <w:i/>
        </w:rPr>
        <w:t>Child Safe Standards</w:t>
      </w:r>
      <w:r>
        <w:t xml:space="preserve">. </w:t>
      </w:r>
    </w:p>
    <w:p w14:paraId="4C7C8B54" w14:textId="77777777" w:rsidR="00442AD2" w:rsidRDefault="00B36619">
      <w:pPr>
        <w:pStyle w:val="Heading1"/>
        <w:spacing w:after="0"/>
        <w:ind w:left="5"/>
      </w:pPr>
      <w:r>
        <w:t xml:space="preserve">Definition  </w:t>
      </w:r>
    </w:p>
    <w:p w14:paraId="60FA01EF" w14:textId="77777777" w:rsidR="00442AD2" w:rsidRDefault="00B36619">
      <w:pPr>
        <w:spacing w:after="0" w:line="259" w:lineRule="auto"/>
        <w:ind w:left="0" w:firstLine="0"/>
      </w:pPr>
      <w:r>
        <w:rPr>
          <w:rFonts w:ascii="Arial" w:eastAsia="Arial" w:hAnsi="Arial" w:cs="Arial"/>
        </w:rPr>
        <w:t xml:space="preserve"> </w:t>
      </w:r>
    </w:p>
    <w:p w14:paraId="722927A8" w14:textId="77777777" w:rsidR="00442AD2" w:rsidRDefault="00B36619">
      <w:pPr>
        <w:spacing w:after="145"/>
        <w:ind w:left="20" w:right="4"/>
      </w:pPr>
      <w:r>
        <w:t xml:space="preserve">A complaint includes a communication (verbal or written) to the Council which expresses dissatisfaction about:   </w:t>
      </w:r>
    </w:p>
    <w:p w14:paraId="2FE33F35" w14:textId="77777777" w:rsidR="00442AD2" w:rsidRDefault="00B36619">
      <w:pPr>
        <w:numPr>
          <w:ilvl w:val="0"/>
          <w:numId w:val="2"/>
        </w:numPr>
        <w:spacing w:after="191" w:line="259" w:lineRule="auto"/>
        <w:ind w:right="4" w:hanging="360"/>
      </w:pPr>
      <w:r>
        <w:t xml:space="preserve">The quality of an action, decision or service provided by Council staff or a Council </w:t>
      </w:r>
      <w:proofErr w:type="gramStart"/>
      <w:r>
        <w:t>contractor</w:t>
      </w:r>
      <w:proofErr w:type="gramEnd"/>
      <w:r>
        <w:t xml:space="preserve">    </w:t>
      </w:r>
    </w:p>
    <w:p w14:paraId="3BFCB2BD" w14:textId="77777777" w:rsidR="00442AD2" w:rsidRDefault="00B36619">
      <w:pPr>
        <w:numPr>
          <w:ilvl w:val="0"/>
          <w:numId w:val="2"/>
        </w:numPr>
        <w:spacing w:after="209"/>
        <w:ind w:right="4" w:hanging="360"/>
      </w:pPr>
      <w:r>
        <w:lastRenderedPageBreak/>
        <w:t xml:space="preserve">A delay by Council staff or a Council contractor in taking an action, </w:t>
      </w:r>
      <w:proofErr w:type="gramStart"/>
      <w:r>
        <w:t>making a decision</w:t>
      </w:r>
      <w:proofErr w:type="gramEnd"/>
      <w:r>
        <w:t xml:space="preserve"> or delivering a service and/or  </w:t>
      </w:r>
    </w:p>
    <w:p w14:paraId="6861D85F" w14:textId="77777777" w:rsidR="00442AD2" w:rsidRDefault="00B36619">
      <w:pPr>
        <w:numPr>
          <w:ilvl w:val="0"/>
          <w:numId w:val="2"/>
        </w:numPr>
        <w:ind w:right="4" w:hanging="360"/>
      </w:pPr>
      <w:r>
        <w:t xml:space="preserve">A policy or decision made by the Council, Council staff or a Council contractor.   </w:t>
      </w:r>
    </w:p>
    <w:p w14:paraId="0CB69AF1" w14:textId="77777777" w:rsidR="00442AD2" w:rsidRDefault="00B36619">
      <w:pPr>
        <w:spacing w:after="130" w:line="259" w:lineRule="auto"/>
        <w:ind w:left="721" w:firstLine="0"/>
      </w:pPr>
      <w:r>
        <w:t xml:space="preserve"> </w:t>
      </w:r>
    </w:p>
    <w:p w14:paraId="5462CEA4" w14:textId="77777777" w:rsidR="00442AD2" w:rsidRDefault="00B36619">
      <w:pPr>
        <w:spacing w:after="136"/>
        <w:ind w:left="20" w:right="4"/>
      </w:pPr>
      <w:r>
        <w:t xml:space="preserve">In this policy:   </w:t>
      </w:r>
    </w:p>
    <w:p w14:paraId="6D9E412B" w14:textId="77777777" w:rsidR="00442AD2" w:rsidRDefault="00B36619">
      <w:pPr>
        <w:numPr>
          <w:ilvl w:val="0"/>
          <w:numId w:val="2"/>
        </w:numPr>
        <w:spacing w:after="137" w:line="255" w:lineRule="auto"/>
        <w:ind w:right="4" w:hanging="360"/>
      </w:pPr>
      <w:r>
        <w:t xml:space="preserve">‘Council staff’ is any person employed by the Council to carry out the functions of the Council, and the Council’s CEO, this includes </w:t>
      </w:r>
      <w:proofErr w:type="gramStart"/>
      <w:r>
        <w:t>volunteers</w:t>
      </w:r>
      <w:proofErr w:type="gramEnd"/>
      <w:r>
        <w:t xml:space="preserve">  </w:t>
      </w:r>
    </w:p>
    <w:p w14:paraId="6B36F56C" w14:textId="77777777" w:rsidR="00442AD2" w:rsidRDefault="00B36619">
      <w:pPr>
        <w:numPr>
          <w:ilvl w:val="0"/>
          <w:numId w:val="2"/>
        </w:numPr>
        <w:spacing w:after="143"/>
        <w:ind w:right="4" w:hanging="360"/>
      </w:pPr>
      <w:r>
        <w:t xml:space="preserve">‘Council contractor’ is any third-party engaged by the Council to carry out functions on the Council’s </w:t>
      </w:r>
      <w:proofErr w:type="gramStart"/>
      <w:r>
        <w:t>behalf</w:t>
      </w:r>
      <w:proofErr w:type="gramEnd"/>
      <w:r>
        <w:t xml:space="preserve">  </w:t>
      </w:r>
    </w:p>
    <w:p w14:paraId="3672122B" w14:textId="75A9BE35" w:rsidR="00442AD2" w:rsidRDefault="00B36619">
      <w:pPr>
        <w:numPr>
          <w:ilvl w:val="0"/>
          <w:numId w:val="2"/>
        </w:numPr>
        <w:spacing w:after="89" w:line="255" w:lineRule="auto"/>
        <w:ind w:right="4" w:hanging="360"/>
      </w:pPr>
      <w:r>
        <w:t>‘</w:t>
      </w:r>
      <w:proofErr w:type="gramStart"/>
      <w:r>
        <w:t>the</w:t>
      </w:r>
      <w:proofErr w:type="gramEnd"/>
      <w:r>
        <w:t xml:space="preserve"> Council’ means the body of elected Councillors.   </w:t>
      </w:r>
    </w:p>
    <w:p w14:paraId="512FBEAE" w14:textId="77777777" w:rsidR="00442AD2" w:rsidRDefault="00B36619">
      <w:pPr>
        <w:spacing w:after="75" w:line="259" w:lineRule="auto"/>
        <w:ind w:left="721" w:firstLine="0"/>
      </w:pPr>
      <w:r>
        <w:t xml:space="preserve"> </w:t>
      </w:r>
    </w:p>
    <w:p w14:paraId="2FB308DB" w14:textId="77777777" w:rsidR="00442AD2" w:rsidRDefault="00B36619">
      <w:pPr>
        <w:spacing w:after="137"/>
        <w:ind w:left="20" w:right="4"/>
      </w:pPr>
      <w:r>
        <w:t xml:space="preserve">A complaint is not:   </w:t>
      </w:r>
    </w:p>
    <w:p w14:paraId="026785C4" w14:textId="77777777" w:rsidR="00442AD2" w:rsidRDefault="00B36619">
      <w:pPr>
        <w:numPr>
          <w:ilvl w:val="0"/>
          <w:numId w:val="3"/>
        </w:numPr>
        <w:spacing w:after="113"/>
        <w:ind w:right="4" w:hanging="360"/>
      </w:pPr>
      <w:r>
        <w:t xml:space="preserve">A request for service, which is contact with Council to seek either assistance, access to a new service or advise us about a matter for which Council has responsibility and/or </w:t>
      </w:r>
    </w:p>
    <w:p w14:paraId="58835943" w14:textId="77777777" w:rsidR="00442AD2" w:rsidRDefault="00B36619">
      <w:pPr>
        <w:numPr>
          <w:ilvl w:val="0"/>
          <w:numId w:val="3"/>
        </w:numPr>
        <w:spacing w:after="387"/>
        <w:ind w:right="4" w:hanging="360"/>
      </w:pPr>
      <w:r>
        <w:t xml:space="preserve">Feedback, which is information provided to council on the quality of service provided by its officers or contractors.   </w:t>
      </w:r>
    </w:p>
    <w:p w14:paraId="3A2BDEB1" w14:textId="77777777" w:rsidR="00442AD2" w:rsidRPr="00AB1954" w:rsidRDefault="00B36619" w:rsidP="00AB1954">
      <w:pPr>
        <w:spacing w:after="355" w:line="259" w:lineRule="auto"/>
        <w:ind w:left="0" w:firstLine="0"/>
        <w:rPr>
          <w:sz w:val="24"/>
          <w:szCs w:val="24"/>
        </w:rPr>
      </w:pPr>
      <w:r w:rsidRPr="00AB1954">
        <w:rPr>
          <w:b/>
          <w:sz w:val="24"/>
          <w:szCs w:val="24"/>
        </w:rPr>
        <w:t xml:space="preserve">Child safety complaints or concerns  </w:t>
      </w:r>
    </w:p>
    <w:p w14:paraId="028FBDE6" w14:textId="77777777" w:rsidR="00442AD2" w:rsidRPr="00277715" w:rsidRDefault="00B36619" w:rsidP="00AB1954">
      <w:pPr>
        <w:spacing w:after="0" w:line="259" w:lineRule="auto"/>
        <w:ind w:left="0" w:firstLine="0"/>
      </w:pPr>
      <w:r w:rsidRPr="00AB1954">
        <w:t>Complaints involving suspected abuse or harm of a child or young person, concerns about a person’s behaviour towards children or young people, or any other child safety concerns will be handled according to Council’</w:t>
      </w:r>
      <w:hyperlink r:id="rId8">
        <w:r w:rsidRPr="00AB1954">
          <w:t xml:space="preserve">s </w:t>
        </w:r>
      </w:hyperlink>
      <w:hyperlink r:id="rId9">
        <w:r w:rsidRPr="00AB1954">
          <w:rPr>
            <w:color w:val="0000FF"/>
            <w:u w:val="single" w:color="0000FF"/>
          </w:rPr>
          <w:t>Child Safe Policy</w:t>
        </w:r>
      </w:hyperlink>
      <w:hyperlink r:id="rId10">
        <w:r w:rsidRPr="00AB1954">
          <w:t xml:space="preserve"> </w:t>
        </w:r>
      </w:hyperlink>
      <w:hyperlink r:id="rId11">
        <w:r w:rsidRPr="00AB1954">
          <w:t>a</w:t>
        </w:r>
      </w:hyperlink>
      <w:r w:rsidRPr="00AB1954">
        <w:t>n</w:t>
      </w:r>
      <w:hyperlink r:id="rId12">
        <w:r w:rsidRPr="00AB1954">
          <w:t xml:space="preserve">d </w:t>
        </w:r>
      </w:hyperlink>
      <w:hyperlink r:id="rId13">
        <w:r w:rsidRPr="00AB1954">
          <w:rPr>
            <w:color w:val="0000FF"/>
            <w:u w:val="single" w:color="0000FF"/>
          </w:rPr>
          <w:t>Child Safe Reporting Procedure</w:t>
        </w:r>
      </w:hyperlink>
      <w:hyperlink r:id="rId14">
        <w:r w:rsidRPr="00AB1954">
          <w:t>.</w:t>
        </w:r>
      </w:hyperlink>
      <w:r w:rsidRPr="00AB1954">
        <w:t xml:space="preserve"> </w:t>
      </w:r>
    </w:p>
    <w:p w14:paraId="5F74DF58" w14:textId="77777777" w:rsidR="00442AD2" w:rsidRPr="00277715" w:rsidRDefault="00B36619">
      <w:pPr>
        <w:spacing w:after="0" w:line="259" w:lineRule="auto"/>
        <w:ind w:left="0" w:firstLine="0"/>
      </w:pPr>
      <w:r w:rsidRPr="00AB1954">
        <w:t xml:space="preserve"> </w:t>
      </w:r>
    </w:p>
    <w:p w14:paraId="21A9150E" w14:textId="77777777" w:rsidR="00442AD2" w:rsidRPr="00277715" w:rsidRDefault="00B36619">
      <w:pPr>
        <w:spacing w:after="20" w:line="241" w:lineRule="auto"/>
        <w:ind w:left="0" w:firstLine="0"/>
      </w:pPr>
      <w:r w:rsidRPr="00AB1954">
        <w:t xml:space="preserve">These complaints or concerns can be made by calling Council on 03 9217 2170 and asking to speak to a Child Safe Officer or by emailing </w:t>
      </w:r>
      <w:r w:rsidRPr="00AB1954">
        <w:rPr>
          <w:color w:val="0000FF"/>
          <w:u w:val="single" w:color="0000FF"/>
        </w:rPr>
        <w:t>childsafety@whittlesea.vic.gov.au</w:t>
      </w:r>
      <w:r w:rsidRPr="00AB1954">
        <w:t xml:space="preserve">.  </w:t>
      </w:r>
    </w:p>
    <w:p w14:paraId="75D77A2A" w14:textId="77777777" w:rsidR="005522EA" w:rsidRDefault="005522EA">
      <w:pPr>
        <w:spacing w:after="260" w:line="259" w:lineRule="auto"/>
        <w:ind w:firstLine="0"/>
      </w:pPr>
    </w:p>
    <w:p w14:paraId="0EA07BC5" w14:textId="77777777" w:rsidR="005522EA" w:rsidRPr="00AB1954" w:rsidRDefault="005522EA">
      <w:pPr>
        <w:spacing w:after="260" w:line="259" w:lineRule="auto"/>
        <w:ind w:firstLine="0"/>
        <w:rPr>
          <w:b/>
          <w:bCs/>
          <w:sz w:val="24"/>
          <w:szCs w:val="24"/>
        </w:rPr>
      </w:pPr>
      <w:r w:rsidRPr="00AB1954">
        <w:rPr>
          <w:b/>
          <w:bCs/>
          <w:sz w:val="24"/>
          <w:szCs w:val="24"/>
        </w:rPr>
        <w:t>Councillor Complaints</w:t>
      </w:r>
    </w:p>
    <w:p w14:paraId="6E997BA5" w14:textId="4A2920F2" w:rsidR="00442AD2" w:rsidRPr="00277715" w:rsidRDefault="005522EA">
      <w:pPr>
        <w:spacing w:after="260" w:line="259" w:lineRule="auto"/>
        <w:ind w:firstLine="0"/>
      </w:pPr>
      <w:r>
        <w:t>Complaints involving an individual or group of Councillors</w:t>
      </w:r>
      <w:r w:rsidR="00B36619" w:rsidRPr="00277715">
        <w:t xml:space="preserve"> </w:t>
      </w:r>
      <w:r>
        <w:t xml:space="preserve">can be made to an external integrity agency as outlined in Table 1 below, or to Council’s nominated Public Interest Disclosure coordinator </w:t>
      </w:r>
      <w:r w:rsidR="00FF5732">
        <w:t xml:space="preserve">via email </w:t>
      </w:r>
      <w:hyperlink r:id="rId15" w:history="1">
        <w:r w:rsidR="00FF5732" w:rsidRPr="009446DD">
          <w:rPr>
            <w:rStyle w:val="Hyperlink"/>
          </w:rPr>
          <w:t>pid@whittlesea.vic.gov.au</w:t>
        </w:r>
      </w:hyperlink>
      <w:r w:rsidR="00FF5732">
        <w:t xml:space="preserve"> if you reasonably believe their conduct relates to fraud and or corruption. </w:t>
      </w:r>
    </w:p>
    <w:p w14:paraId="112966AD" w14:textId="77777777" w:rsidR="00442AD2" w:rsidRDefault="00B36619">
      <w:pPr>
        <w:pStyle w:val="Heading1"/>
        <w:ind w:left="5"/>
      </w:pPr>
      <w:r>
        <w:lastRenderedPageBreak/>
        <w:t>Procedures and implementation</w:t>
      </w:r>
      <w:r>
        <w:rPr>
          <w:b w:val="0"/>
        </w:rPr>
        <w:t xml:space="preserve"> </w:t>
      </w:r>
    </w:p>
    <w:p w14:paraId="7C54A687" w14:textId="77777777" w:rsidR="00442AD2" w:rsidRDefault="00B36619">
      <w:pPr>
        <w:spacing w:after="159"/>
        <w:ind w:left="20" w:right="4"/>
      </w:pPr>
      <w:r>
        <w:t xml:space="preserve">Any member of the public can make a complaint. Complaints can be made by:   </w:t>
      </w:r>
    </w:p>
    <w:p w14:paraId="56858546" w14:textId="77777777" w:rsidR="00442AD2" w:rsidRDefault="00B36619">
      <w:pPr>
        <w:numPr>
          <w:ilvl w:val="0"/>
          <w:numId w:val="4"/>
        </w:numPr>
        <w:ind w:right="4" w:hanging="360"/>
      </w:pPr>
      <w:r>
        <w:t xml:space="preserve">Telephone: 03 9217 2170   </w:t>
      </w:r>
    </w:p>
    <w:p w14:paraId="5B56AE90" w14:textId="77777777" w:rsidR="00442AD2" w:rsidRDefault="00B36619">
      <w:pPr>
        <w:numPr>
          <w:ilvl w:val="0"/>
          <w:numId w:val="4"/>
        </w:numPr>
        <w:ind w:right="4" w:hanging="360"/>
      </w:pPr>
      <w:r>
        <w:t xml:space="preserve">Online: www.whittlesea.vic.gov.au   </w:t>
      </w:r>
    </w:p>
    <w:p w14:paraId="2773A5E0" w14:textId="77777777" w:rsidR="00442AD2" w:rsidRDefault="00B36619">
      <w:pPr>
        <w:numPr>
          <w:ilvl w:val="0"/>
          <w:numId w:val="4"/>
        </w:numPr>
        <w:ind w:right="4" w:hanging="360"/>
      </w:pPr>
      <w:r>
        <w:t xml:space="preserve">Email:  Info@whittlesea.vic.gov.au   </w:t>
      </w:r>
    </w:p>
    <w:p w14:paraId="1AAF5ADE" w14:textId="77777777" w:rsidR="00442AD2" w:rsidRDefault="00B36619">
      <w:pPr>
        <w:numPr>
          <w:ilvl w:val="0"/>
          <w:numId w:val="4"/>
        </w:numPr>
        <w:ind w:right="4" w:hanging="360"/>
      </w:pPr>
      <w:r>
        <w:t xml:space="preserve">Post: City of Whittlesea, Locked Bag 1 Bundoora, MDC, 3083   </w:t>
      </w:r>
    </w:p>
    <w:p w14:paraId="543DBDFB" w14:textId="77777777" w:rsidR="00442AD2" w:rsidRDefault="00B36619">
      <w:pPr>
        <w:numPr>
          <w:ilvl w:val="0"/>
          <w:numId w:val="4"/>
        </w:numPr>
        <w:spacing w:after="8"/>
        <w:ind w:right="4" w:hanging="360"/>
      </w:pPr>
      <w:r>
        <w:t xml:space="preserve">In person: Council Offices, 25 </w:t>
      </w:r>
      <w:proofErr w:type="spellStart"/>
      <w:r>
        <w:t>Ferres</w:t>
      </w:r>
      <w:proofErr w:type="spellEnd"/>
      <w:r>
        <w:t xml:space="preserve"> Boulevard, South </w:t>
      </w:r>
      <w:proofErr w:type="gramStart"/>
      <w:r>
        <w:t>Morang</w:t>
      </w:r>
      <w:proofErr w:type="gramEnd"/>
      <w:r>
        <w:t xml:space="preserve"> and Whittlesea Services Hub, 66 Church Street, Whittlesea </w:t>
      </w:r>
    </w:p>
    <w:p w14:paraId="5FAE1D06" w14:textId="77777777" w:rsidR="00442AD2" w:rsidRDefault="00B36619">
      <w:pPr>
        <w:spacing w:after="60" w:line="259" w:lineRule="auto"/>
        <w:ind w:firstLine="0"/>
      </w:pPr>
      <w:r>
        <w:t xml:space="preserve"> </w:t>
      </w:r>
    </w:p>
    <w:p w14:paraId="359C5D07" w14:textId="77777777" w:rsidR="00442AD2" w:rsidRDefault="00B36619">
      <w:pPr>
        <w:spacing w:after="130"/>
        <w:ind w:left="20" w:right="4"/>
      </w:pPr>
      <w:r>
        <w:t xml:space="preserve">All complainants are asked to raise their concerns directly with the Council staff member or contractor involved in the first instance to allow Council the opportunity to resolve the issue. If the complaint is not resolved, the complaint can be escalated to a senior officer. After all avenues of review at the Council level have been met and if the complainant is not satisfied with Councils response they will be advised of the external avenues for appeal.  </w:t>
      </w:r>
    </w:p>
    <w:p w14:paraId="4AA993F5" w14:textId="77777777" w:rsidR="00442AD2" w:rsidRDefault="00B36619">
      <w:pPr>
        <w:spacing w:after="105"/>
        <w:ind w:left="20" w:right="4"/>
      </w:pPr>
      <w:r>
        <w:t xml:space="preserve">Full details of the complaints process are outlined in the Complaints Handling Guidelines. </w:t>
      </w:r>
    </w:p>
    <w:p w14:paraId="669E039B" w14:textId="77777777" w:rsidR="00442AD2" w:rsidRDefault="00B36619">
      <w:pPr>
        <w:spacing w:after="0"/>
        <w:ind w:left="20" w:right="4"/>
      </w:pPr>
      <w:r>
        <w:t xml:space="preserve">Where possible, Council will attempt to resolve the complaint at the first point of contact. If Council decide not to act on the complaint, an explanation why will be provided and, where possible, inform the complainant of other options.   </w:t>
      </w:r>
    </w:p>
    <w:p w14:paraId="56FD36D6" w14:textId="77777777" w:rsidR="00442AD2" w:rsidRDefault="00B36619">
      <w:pPr>
        <w:spacing w:after="0" w:line="259" w:lineRule="auto"/>
        <w:ind w:firstLine="0"/>
      </w:pPr>
      <w:r>
        <w:t xml:space="preserve">  </w:t>
      </w:r>
    </w:p>
    <w:p w14:paraId="4B2D8E4D" w14:textId="77777777" w:rsidR="00442AD2" w:rsidRDefault="00B36619">
      <w:pPr>
        <w:spacing w:after="0"/>
        <w:ind w:left="20" w:right="4"/>
      </w:pPr>
      <w:r>
        <w:t xml:space="preserve">If Council cannot resolve the complaint quickly, it will be referred to the relevant team or manager to investigate. Details of the officer responsible of the investigation will be provided. </w:t>
      </w:r>
    </w:p>
    <w:p w14:paraId="2DB902A8" w14:textId="77777777" w:rsidR="00442AD2" w:rsidRDefault="00B36619">
      <w:pPr>
        <w:spacing w:after="0" w:line="259" w:lineRule="auto"/>
        <w:ind w:firstLine="0"/>
      </w:pPr>
      <w:r>
        <w:t xml:space="preserve">  </w:t>
      </w:r>
    </w:p>
    <w:p w14:paraId="2DA7A2FA" w14:textId="77777777" w:rsidR="00442AD2" w:rsidRDefault="00B36619">
      <w:pPr>
        <w:spacing w:after="0"/>
        <w:ind w:left="20" w:right="4"/>
      </w:pPr>
      <w:r>
        <w:t xml:space="preserve">Council aims to complete investigations within 20 business days and will advise if the investigation will take longer. Updates will be provided regularly (but no longer than 20 business days) about the progress until the investigation is completed. Council will inform the complainant of the outcome and the reasons.   If the outcome is provided verbally, it will be followed by a written confirmation of the discussion. </w:t>
      </w:r>
    </w:p>
    <w:p w14:paraId="1324104A" w14:textId="77777777" w:rsidR="00442AD2" w:rsidRDefault="00B36619">
      <w:pPr>
        <w:spacing w:after="0" w:line="259" w:lineRule="auto"/>
        <w:ind w:firstLine="0"/>
      </w:pPr>
      <w:r>
        <w:t xml:space="preserve">  </w:t>
      </w:r>
    </w:p>
    <w:p w14:paraId="69919496" w14:textId="77777777" w:rsidR="00442AD2" w:rsidRDefault="00B36619">
      <w:pPr>
        <w:spacing w:after="294"/>
        <w:ind w:left="20" w:right="4"/>
      </w:pPr>
      <w:r>
        <w:t xml:space="preserve">As part of the investigation Council will:   </w:t>
      </w:r>
    </w:p>
    <w:p w14:paraId="10FE370E" w14:textId="77777777" w:rsidR="00442AD2" w:rsidRDefault="00B36619">
      <w:pPr>
        <w:numPr>
          <w:ilvl w:val="0"/>
          <w:numId w:val="5"/>
        </w:numPr>
        <w:ind w:right="4" w:hanging="360"/>
      </w:pPr>
      <w:r>
        <w:t xml:space="preserve">Assess the information against relevant legislation, policies and </w:t>
      </w:r>
      <w:proofErr w:type="gramStart"/>
      <w:r>
        <w:t>procedures</w:t>
      </w:r>
      <w:proofErr w:type="gramEnd"/>
      <w:r>
        <w:t xml:space="preserve">   </w:t>
      </w:r>
    </w:p>
    <w:p w14:paraId="0392D188" w14:textId="77777777" w:rsidR="00442AD2" w:rsidRDefault="00B36619">
      <w:pPr>
        <w:numPr>
          <w:ilvl w:val="0"/>
          <w:numId w:val="5"/>
        </w:numPr>
        <w:ind w:right="4" w:hanging="360"/>
      </w:pPr>
      <w:r>
        <w:t xml:space="preserve">Refer to Council documents and </w:t>
      </w:r>
      <w:proofErr w:type="gramStart"/>
      <w:r>
        <w:t>records</w:t>
      </w:r>
      <w:proofErr w:type="gramEnd"/>
      <w:r>
        <w:t xml:space="preserve">   </w:t>
      </w:r>
    </w:p>
    <w:p w14:paraId="327CFFC9" w14:textId="77777777" w:rsidR="00442AD2" w:rsidRDefault="00B36619">
      <w:pPr>
        <w:numPr>
          <w:ilvl w:val="0"/>
          <w:numId w:val="5"/>
        </w:numPr>
        <w:ind w:right="4" w:hanging="360"/>
      </w:pPr>
      <w:r>
        <w:t xml:space="preserve">Meet affected parties to consider possible </w:t>
      </w:r>
      <w:proofErr w:type="gramStart"/>
      <w:r>
        <w:t>solutions</w:t>
      </w:r>
      <w:proofErr w:type="gramEnd"/>
      <w:r>
        <w:t xml:space="preserve"> </w:t>
      </w:r>
    </w:p>
    <w:p w14:paraId="006D9066" w14:textId="77777777" w:rsidR="00442AD2" w:rsidRDefault="00B36619">
      <w:pPr>
        <w:numPr>
          <w:ilvl w:val="0"/>
          <w:numId w:val="5"/>
        </w:numPr>
        <w:spacing w:after="70"/>
        <w:ind w:right="4" w:hanging="360"/>
      </w:pPr>
      <w:r>
        <w:t xml:space="preserve">Advise the complainant in writing of the outcome and our reasons. </w:t>
      </w:r>
    </w:p>
    <w:p w14:paraId="06494C62" w14:textId="77777777" w:rsidR="00442AD2" w:rsidRDefault="00B36619">
      <w:pPr>
        <w:spacing w:after="46" w:line="259" w:lineRule="auto"/>
        <w:ind w:left="721" w:firstLine="0"/>
      </w:pPr>
      <w:r>
        <w:t xml:space="preserve"> </w:t>
      </w:r>
    </w:p>
    <w:p w14:paraId="45040F57" w14:textId="77777777" w:rsidR="00442AD2" w:rsidRDefault="00B36619">
      <w:pPr>
        <w:ind w:left="20" w:right="4"/>
      </w:pPr>
      <w:r>
        <w:t xml:space="preserve">Council require staff to be respectful and responsive in all their communications with members of the public. Council expects the same when communicating with staff.   </w:t>
      </w:r>
    </w:p>
    <w:p w14:paraId="47CD435F" w14:textId="77777777" w:rsidR="00442AD2" w:rsidRDefault="00B36619">
      <w:pPr>
        <w:spacing w:after="384"/>
        <w:ind w:left="20" w:right="4"/>
      </w:pPr>
      <w:r>
        <w:lastRenderedPageBreak/>
        <w:t xml:space="preserve">Council may change the way it communicates if the complainant’s behaviour raises health, safety, </w:t>
      </w:r>
      <w:proofErr w:type="gramStart"/>
      <w:r>
        <w:t>resource</w:t>
      </w:r>
      <w:proofErr w:type="gramEnd"/>
      <w:r>
        <w:t xml:space="preserve"> or equity issues for Council staff involved in the complaints process.    </w:t>
      </w:r>
    </w:p>
    <w:p w14:paraId="289E6808" w14:textId="77777777" w:rsidR="00442AD2" w:rsidRDefault="00B36619">
      <w:pPr>
        <w:pStyle w:val="Heading1"/>
        <w:spacing w:after="0"/>
        <w:ind w:left="5"/>
      </w:pPr>
      <w:r>
        <w:t xml:space="preserve">Review of an outcome or decision </w:t>
      </w:r>
    </w:p>
    <w:p w14:paraId="6009D08C" w14:textId="77777777" w:rsidR="00442AD2" w:rsidRDefault="00B36619">
      <w:pPr>
        <w:spacing w:after="0" w:line="259" w:lineRule="auto"/>
        <w:ind w:left="0" w:firstLine="0"/>
      </w:pPr>
      <w:r>
        <w:rPr>
          <w:rFonts w:ascii="Arial" w:eastAsia="Arial" w:hAnsi="Arial" w:cs="Arial"/>
        </w:rPr>
        <w:t xml:space="preserve"> </w:t>
      </w:r>
    </w:p>
    <w:p w14:paraId="73927C4C" w14:textId="77777777" w:rsidR="00442AD2" w:rsidRDefault="00B36619">
      <w:pPr>
        <w:spacing w:after="0" w:line="259" w:lineRule="auto"/>
        <w:ind w:left="0" w:firstLine="0"/>
      </w:pPr>
      <w:r>
        <w:rPr>
          <w:rFonts w:ascii="Arial" w:eastAsia="Arial" w:hAnsi="Arial" w:cs="Arial"/>
        </w:rPr>
        <w:t xml:space="preserve"> </w:t>
      </w:r>
    </w:p>
    <w:p w14:paraId="55B76FF6" w14:textId="77777777" w:rsidR="00442AD2" w:rsidRDefault="00B36619">
      <w:pPr>
        <w:spacing w:after="0"/>
        <w:ind w:left="20" w:right="4"/>
      </w:pPr>
      <w:r>
        <w:t xml:space="preserve">If the complainant is dissatisfied with the decision and how the complainant was responded to, an internal or external review can be requested. </w:t>
      </w:r>
    </w:p>
    <w:p w14:paraId="794F100C" w14:textId="77777777" w:rsidR="00442AD2" w:rsidRDefault="00B36619">
      <w:pPr>
        <w:spacing w:after="0" w:line="259" w:lineRule="auto"/>
        <w:ind w:firstLine="0"/>
      </w:pPr>
      <w:r>
        <w:t xml:space="preserve">  </w:t>
      </w:r>
    </w:p>
    <w:p w14:paraId="69279AD6" w14:textId="77777777" w:rsidR="00442AD2" w:rsidRDefault="00B36619">
      <w:pPr>
        <w:spacing w:after="0"/>
        <w:ind w:left="20" w:right="4"/>
      </w:pPr>
      <w:r>
        <w:t xml:space="preserve">The internal review will be conducted by a senior Council officer with the required subject matter knowledge but who has not had any prior involvement with the complaint to date.   </w:t>
      </w:r>
    </w:p>
    <w:p w14:paraId="2F6BF4F6" w14:textId="77777777" w:rsidR="00442AD2" w:rsidRDefault="00B36619">
      <w:pPr>
        <w:spacing w:after="0" w:line="259" w:lineRule="auto"/>
        <w:ind w:firstLine="0"/>
      </w:pPr>
      <w:r>
        <w:t xml:space="preserve">  </w:t>
      </w:r>
    </w:p>
    <w:p w14:paraId="5BA14673" w14:textId="77777777" w:rsidR="00442AD2" w:rsidRDefault="00B36619">
      <w:pPr>
        <w:ind w:left="20" w:right="4"/>
      </w:pPr>
      <w:r>
        <w:t xml:space="preserve">The complainant will be informed of the outcome of the internal review and reasons within 20 business days.  </w:t>
      </w:r>
      <w:r>
        <w:rPr>
          <w:b/>
          <w:sz w:val="24"/>
        </w:rPr>
        <w:t xml:space="preserve"> </w:t>
      </w:r>
      <w:r>
        <w:t xml:space="preserve"> </w:t>
      </w:r>
    </w:p>
    <w:p w14:paraId="551895C0" w14:textId="77777777" w:rsidR="00442AD2" w:rsidRDefault="00B36619">
      <w:pPr>
        <w:spacing w:after="114"/>
        <w:ind w:left="20" w:right="4"/>
      </w:pPr>
      <w:r>
        <w:t xml:space="preserve">For an external review, there are external bodies that can deal with different types of complaints about Council. After all avenues of review at the Council level have been met, and if the complainant is not satisfied with Councils response, the relevant external avenue to seek further information will be provided. </w:t>
      </w:r>
    </w:p>
    <w:p w14:paraId="2B35B6C6" w14:textId="77777777" w:rsidR="00442AD2" w:rsidRDefault="00B36619">
      <w:pPr>
        <w:spacing w:after="96" w:line="259" w:lineRule="auto"/>
        <w:ind w:left="0" w:firstLine="0"/>
      </w:pPr>
      <w:r>
        <w:t xml:space="preserve"> </w:t>
      </w:r>
    </w:p>
    <w:p w14:paraId="46B1A378" w14:textId="455BC9BB" w:rsidR="00442AD2" w:rsidRDefault="00B36619">
      <w:pPr>
        <w:spacing w:after="10"/>
        <w:ind w:left="20" w:right="4"/>
      </w:pPr>
      <w:r>
        <w:t>Complaints can be made to the following external organisations</w:t>
      </w:r>
      <w:r w:rsidR="005522EA">
        <w:t xml:space="preserve"> as outlined in Table 1 below</w:t>
      </w:r>
      <w:r>
        <w:t xml:space="preserve">:  </w:t>
      </w:r>
    </w:p>
    <w:p w14:paraId="38D59A23" w14:textId="77777777" w:rsidR="005522EA" w:rsidRDefault="00B36619">
      <w:pPr>
        <w:spacing w:after="0" w:line="259" w:lineRule="auto"/>
        <w:ind w:firstLine="0"/>
        <w:rPr>
          <w:rFonts w:ascii="Arial" w:eastAsia="Arial" w:hAnsi="Arial" w:cs="Arial"/>
        </w:rPr>
      </w:pPr>
      <w:r>
        <w:rPr>
          <w:rFonts w:ascii="Arial" w:eastAsia="Arial" w:hAnsi="Arial" w:cs="Arial"/>
        </w:rPr>
        <w:t xml:space="preserve">  </w:t>
      </w:r>
    </w:p>
    <w:p w14:paraId="27D90EC2" w14:textId="6D56DFD3" w:rsidR="00442AD2" w:rsidRPr="00AB1954" w:rsidRDefault="005522EA">
      <w:pPr>
        <w:spacing w:after="0" w:line="259" w:lineRule="auto"/>
        <w:ind w:firstLine="0"/>
        <w:rPr>
          <w:rFonts w:asciiTheme="minorHAnsi" w:hAnsiTheme="minorHAnsi" w:cstheme="minorHAnsi"/>
          <w:b/>
          <w:bCs/>
        </w:rPr>
      </w:pPr>
      <w:r w:rsidRPr="00AB1954">
        <w:rPr>
          <w:rFonts w:asciiTheme="minorHAnsi" w:eastAsia="Arial" w:hAnsiTheme="minorHAnsi" w:cstheme="minorHAnsi"/>
          <w:b/>
          <w:bCs/>
        </w:rPr>
        <w:t>Table 1</w:t>
      </w:r>
    </w:p>
    <w:tbl>
      <w:tblPr>
        <w:tblStyle w:val="TableGrid"/>
        <w:tblW w:w="8296" w:type="dxa"/>
        <w:tblInd w:w="26" w:type="dxa"/>
        <w:tblCellMar>
          <w:top w:w="77" w:type="dxa"/>
          <w:left w:w="104" w:type="dxa"/>
          <w:right w:w="81" w:type="dxa"/>
        </w:tblCellMar>
        <w:tblLook w:val="04A0" w:firstRow="1" w:lastRow="0" w:firstColumn="1" w:lastColumn="0" w:noHBand="0" w:noVBand="1"/>
      </w:tblPr>
      <w:tblGrid>
        <w:gridCol w:w="4146"/>
        <w:gridCol w:w="4150"/>
      </w:tblGrid>
      <w:tr w:rsidR="00442AD2" w14:paraId="08DBE80F" w14:textId="77777777">
        <w:trPr>
          <w:trHeight w:val="653"/>
        </w:trPr>
        <w:tc>
          <w:tcPr>
            <w:tcW w:w="4146" w:type="dxa"/>
            <w:tcBorders>
              <w:top w:val="single" w:sz="4" w:space="0" w:color="BFBFBF"/>
              <w:left w:val="single" w:sz="4" w:space="0" w:color="BFBFBF"/>
              <w:bottom w:val="single" w:sz="18" w:space="0" w:color="F2F2F2"/>
              <w:right w:val="single" w:sz="4" w:space="0" w:color="BFBFBF"/>
            </w:tcBorders>
          </w:tcPr>
          <w:p w14:paraId="4D17EBFD" w14:textId="77777777" w:rsidR="00442AD2" w:rsidRDefault="00B36619">
            <w:pPr>
              <w:spacing w:after="0" w:line="259" w:lineRule="auto"/>
              <w:ind w:left="0" w:firstLine="0"/>
            </w:pPr>
            <w:r>
              <w:rPr>
                <w:b/>
              </w:rPr>
              <w:t xml:space="preserve">Complaint </w:t>
            </w:r>
            <w:r>
              <w:t xml:space="preserve"> </w:t>
            </w:r>
          </w:p>
        </w:tc>
        <w:tc>
          <w:tcPr>
            <w:tcW w:w="4150" w:type="dxa"/>
            <w:tcBorders>
              <w:top w:val="single" w:sz="4" w:space="0" w:color="BFBFBF"/>
              <w:left w:val="single" w:sz="4" w:space="0" w:color="BFBFBF"/>
              <w:bottom w:val="single" w:sz="18" w:space="0" w:color="F2F2F2"/>
              <w:right w:val="single" w:sz="4" w:space="0" w:color="BFBFBF"/>
            </w:tcBorders>
          </w:tcPr>
          <w:p w14:paraId="29C515A3" w14:textId="77777777" w:rsidR="00442AD2" w:rsidRDefault="00B36619">
            <w:pPr>
              <w:spacing w:after="0" w:line="259" w:lineRule="auto"/>
              <w:ind w:left="6" w:right="45" w:firstLine="0"/>
            </w:pPr>
            <w:r>
              <w:rPr>
                <w:b/>
              </w:rPr>
              <w:t xml:space="preserve">Organisation to contact for external review </w:t>
            </w:r>
            <w:r>
              <w:t xml:space="preserve"> </w:t>
            </w:r>
          </w:p>
        </w:tc>
      </w:tr>
      <w:tr w:rsidR="00442AD2" w14:paraId="2EFD4400" w14:textId="77777777">
        <w:trPr>
          <w:trHeight w:val="1741"/>
        </w:trPr>
        <w:tc>
          <w:tcPr>
            <w:tcW w:w="4146" w:type="dxa"/>
            <w:tcBorders>
              <w:top w:val="single" w:sz="18" w:space="0" w:color="F2F2F2"/>
              <w:left w:val="single" w:sz="4" w:space="0" w:color="BFBFBF"/>
              <w:bottom w:val="single" w:sz="4" w:space="0" w:color="BFBFBF"/>
              <w:right w:val="single" w:sz="4" w:space="0" w:color="BFBFBF"/>
            </w:tcBorders>
            <w:shd w:val="clear" w:color="auto" w:fill="F2F2F2"/>
          </w:tcPr>
          <w:p w14:paraId="776232C1" w14:textId="1D8BF1CF" w:rsidR="00442AD2" w:rsidRDefault="00B36619">
            <w:pPr>
              <w:spacing w:after="4" w:line="242" w:lineRule="auto"/>
              <w:ind w:left="0" w:firstLine="0"/>
              <w:jc w:val="both"/>
            </w:pPr>
            <w:r>
              <w:t xml:space="preserve">Actions or decisions of Council, Council staff and contractors.   </w:t>
            </w:r>
          </w:p>
          <w:p w14:paraId="0D4215DF" w14:textId="77777777" w:rsidR="00442AD2" w:rsidRDefault="00B36619">
            <w:pPr>
              <w:spacing w:after="0" w:line="259" w:lineRule="auto"/>
              <w:ind w:left="0" w:firstLine="0"/>
            </w:pPr>
            <w:r>
              <w:t>This includes failure to consider human rights or failure to act compatibly with a human right under the Charter of Human Rights and Responsibilities Act 2006 (</w:t>
            </w:r>
            <w:proofErr w:type="gramStart"/>
            <w:r>
              <w:t>Vic)</w:t>
            </w:r>
            <w:r>
              <w:rPr>
                <w:b/>
              </w:rPr>
              <w:t xml:space="preserve">   </w:t>
            </w:r>
            <w:proofErr w:type="gramEnd"/>
            <w:r>
              <w:t xml:space="preserve"> </w:t>
            </w:r>
          </w:p>
        </w:tc>
        <w:tc>
          <w:tcPr>
            <w:tcW w:w="4150" w:type="dxa"/>
            <w:tcBorders>
              <w:top w:val="single" w:sz="18" w:space="0" w:color="F2F2F2"/>
              <w:left w:val="single" w:sz="4" w:space="0" w:color="BFBFBF"/>
              <w:bottom w:val="single" w:sz="4" w:space="0" w:color="BFBFBF"/>
              <w:right w:val="single" w:sz="4" w:space="0" w:color="BFBFBF"/>
            </w:tcBorders>
            <w:shd w:val="clear" w:color="auto" w:fill="F2F2F2"/>
          </w:tcPr>
          <w:p w14:paraId="3B4DB3F3" w14:textId="77777777" w:rsidR="00442AD2" w:rsidRDefault="00B36619">
            <w:pPr>
              <w:spacing w:after="0" w:line="259" w:lineRule="auto"/>
              <w:ind w:left="6" w:firstLine="0"/>
            </w:pPr>
            <w:r>
              <w:t xml:space="preserve">Victorian Ombudsman www.ombudsman.vic.gov.au  </w:t>
            </w:r>
          </w:p>
        </w:tc>
      </w:tr>
      <w:tr w:rsidR="00442AD2" w14:paraId="3C375FED" w14:textId="77777777">
        <w:trPr>
          <w:trHeight w:val="1235"/>
        </w:trPr>
        <w:tc>
          <w:tcPr>
            <w:tcW w:w="4146" w:type="dxa"/>
            <w:tcBorders>
              <w:top w:val="single" w:sz="4" w:space="0" w:color="BFBFBF"/>
              <w:left w:val="single" w:sz="4" w:space="0" w:color="BFBFBF"/>
              <w:bottom w:val="single" w:sz="18" w:space="0" w:color="F2F2F2"/>
              <w:right w:val="single" w:sz="4" w:space="0" w:color="BFBFBF"/>
            </w:tcBorders>
          </w:tcPr>
          <w:p w14:paraId="45267BDB" w14:textId="77777777" w:rsidR="00442AD2" w:rsidRDefault="00B36619">
            <w:pPr>
              <w:spacing w:after="0" w:line="259" w:lineRule="auto"/>
              <w:ind w:left="0" w:right="2" w:firstLine="0"/>
            </w:pPr>
            <w:r>
              <w:t xml:space="preserve">Breaches of the Local Government Act 2020. Concerns about a councillor, council staff, a person providing advice to Council, or Council elections.  </w:t>
            </w:r>
          </w:p>
        </w:tc>
        <w:tc>
          <w:tcPr>
            <w:tcW w:w="4150" w:type="dxa"/>
            <w:tcBorders>
              <w:top w:val="single" w:sz="4" w:space="0" w:color="BFBFBF"/>
              <w:left w:val="single" w:sz="4" w:space="0" w:color="BFBFBF"/>
              <w:bottom w:val="single" w:sz="18" w:space="0" w:color="F2F2F2"/>
              <w:right w:val="single" w:sz="4" w:space="0" w:color="BFBFBF"/>
            </w:tcBorders>
          </w:tcPr>
          <w:p w14:paraId="706A61D0" w14:textId="77777777" w:rsidR="00442AD2" w:rsidRDefault="00B36619">
            <w:pPr>
              <w:spacing w:after="0" w:line="259" w:lineRule="auto"/>
              <w:ind w:left="6" w:firstLine="0"/>
            </w:pPr>
            <w:r>
              <w:t xml:space="preserve">Local Government Inspectorate www.lgi.vic.gov.au  </w:t>
            </w:r>
          </w:p>
        </w:tc>
      </w:tr>
      <w:tr w:rsidR="00442AD2" w14:paraId="6E4DE2DD" w14:textId="77777777">
        <w:trPr>
          <w:trHeight w:val="911"/>
        </w:trPr>
        <w:tc>
          <w:tcPr>
            <w:tcW w:w="4146" w:type="dxa"/>
            <w:tcBorders>
              <w:top w:val="single" w:sz="18" w:space="0" w:color="F2F2F2"/>
              <w:left w:val="single" w:sz="4" w:space="0" w:color="BFBFBF"/>
              <w:bottom w:val="single" w:sz="4" w:space="0" w:color="BFBFBF"/>
              <w:right w:val="single" w:sz="4" w:space="0" w:color="BFBFBF"/>
            </w:tcBorders>
            <w:shd w:val="clear" w:color="auto" w:fill="F2F2F2"/>
          </w:tcPr>
          <w:p w14:paraId="3367C836" w14:textId="77777777" w:rsidR="00442AD2" w:rsidRDefault="00B36619">
            <w:pPr>
              <w:spacing w:after="0" w:line="259" w:lineRule="auto"/>
              <w:ind w:left="0" w:firstLine="0"/>
            </w:pPr>
            <w:r>
              <w:lastRenderedPageBreak/>
              <w:t xml:space="preserve">Breach of privacy.   </w:t>
            </w:r>
          </w:p>
          <w:p w14:paraId="2F78938A" w14:textId="77777777" w:rsidR="00442AD2" w:rsidRDefault="00B36619">
            <w:pPr>
              <w:spacing w:after="0" w:line="259" w:lineRule="auto"/>
              <w:ind w:left="0" w:firstLine="0"/>
            </w:pPr>
            <w:r>
              <w:t xml:space="preserve">Complaint about a freedom of information application  </w:t>
            </w:r>
          </w:p>
        </w:tc>
        <w:tc>
          <w:tcPr>
            <w:tcW w:w="4150" w:type="dxa"/>
            <w:tcBorders>
              <w:top w:val="single" w:sz="18" w:space="0" w:color="F2F2F2"/>
              <w:left w:val="single" w:sz="4" w:space="0" w:color="BFBFBF"/>
              <w:bottom w:val="single" w:sz="4" w:space="0" w:color="BFBFBF"/>
              <w:right w:val="single" w:sz="4" w:space="0" w:color="BFBFBF"/>
            </w:tcBorders>
            <w:shd w:val="clear" w:color="auto" w:fill="F2F2F2"/>
          </w:tcPr>
          <w:p w14:paraId="3FC0D965" w14:textId="77777777" w:rsidR="00442AD2" w:rsidRDefault="00B36619">
            <w:pPr>
              <w:tabs>
                <w:tab w:val="center" w:pos="887"/>
                <w:tab w:val="center" w:pos="1385"/>
                <w:tab w:val="center" w:pos="2195"/>
                <w:tab w:val="right" w:pos="3966"/>
              </w:tabs>
              <w:spacing w:after="0" w:line="259" w:lineRule="auto"/>
              <w:ind w:left="0" w:firstLine="0"/>
            </w:pPr>
            <w:r>
              <w:t xml:space="preserve">Office </w:t>
            </w:r>
            <w:r>
              <w:tab/>
              <w:t xml:space="preserve">of </w:t>
            </w:r>
            <w:r>
              <w:tab/>
              <w:t xml:space="preserve">the </w:t>
            </w:r>
            <w:r>
              <w:tab/>
              <w:t xml:space="preserve">Victorian </w:t>
            </w:r>
            <w:r>
              <w:tab/>
              <w:t xml:space="preserve">Information </w:t>
            </w:r>
          </w:p>
          <w:p w14:paraId="6460BD5F" w14:textId="77777777" w:rsidR="00442AD2" w:rsidRDefault="00B36619">
            <w:pPr>
              <w:spacing w:after="0" w:line="259" w:lineRule="auto"/>
              <w:ind w:left="6" w:firstLine="0"/>
            </w:pPr>
            <w:r>
              <w:t xml:space="preserve">Commission www.ovic.vic.gov.au  </w:t>
            </w:r>
          </w:p>
        </w:tc>
      </w:tr>
      <w:tr w:rsidR="00442AD2" w14:paraId="0A6014FB" w14:textId="77777777">
        <w:trPr>
          <w:trHeight w:val="638"/>
        </w:trPr>
        <w:tc>
          <w:tcPr>
            <w:tcW w:w="4146" w:type="dxa"/>
            <w:tcBorders>
              <w:top w:val="single" w:sz="4" w:space="0" w:color="BFBFBF"/>
              <w:left w:val="single" w:sz="4" w:space="0" w:color="BFBFBF"/>
              <w:bottom w:val="single" w:sz="4" w:space="0" w:color="BFBFBF"/>
              <w:right w:val="single" w:sz="4" w:space="0" w:color="BFBFBF"/>
            </w:tcBorders>
          </w:tcPr>
          <w:p w14:paraId="3D053411" w14:textId="77777777" w:rsidR="00442AD2" w:rsidRDefault="00B36619">
            <w:pPr>
              <w:spacing w:after="0" w:line="259" w:lineRule="auto"/>
              <w:ind w:left="0" w:firstLine="0"/>
            </w:pPr>
            <w:r>
              <w:t xml:space="preserve">Corruption or public interest disclosure </w:t>
            </w:r>
          </w:p>
          <w:p w14:paraId="0BAB4CB7" w14:textId="77777777" w:rsidR="00442AD2" w:rsidRDefault="00B36619">
            <w:pPr>
              <w:spacing w:after="0" w:line="259" w:lineRule="auto"/>
              <w:ind w:left="0" w:firstLine="0"/>
            </w:pPr>
            <w:r>
              <w:t xml:space="preserve">(‘whistle-blower’) complaints  </w:t>
            </w:r>
          </w:p>
        </w:tc>
        <w:tc>
          <w:tcPr>
            <w:tcW w:w="4150" w:type="dxa"/>
            <w:tcBorders>
              <w:top w:val="single" w:sz="4" w:space="0" w:color="BFBFBF"/>
              <w:left w:val="single" w:sz="4" w:space="0" w:color="BFBFBF"/>
              <w:bottom w:val="single" w:sz="4" w:space="0" w:color="BFBFBF"/>
              <w:right w:val="single" w:sz="4" w:space="0" w:color="BFBFBF"/>
            </w:tcBorders>
          </w:tcPr>
          <w:p w14:paraId="45AAC878" w14:textId="77777777" w:rsidR="00442AD2" w:rsidRDefault="00B36619">
            <w:pPr>
              <w:spacing w:after="0" w:line="259" w:lineRule="auto"/>
              <w:ind w:left="6" w:firstLine="0"/>
            </w:pPr>
            <w:r>
              <w:t xml:space="preserve">Independent Broad-based Anticorruption </w:t>
            </w:r>
          </w:p>
          <w:p w14:paraId="43D98214" w14:textId="77777777" w:rsidR="00442AD2" w:rsidRDefault="00B36619">
            <w:pPr>
              <w:spacing w:after="0" w:line="259" w:lineRule="auto"/>
              <w:ind w:left="6" w:firstLine="0"/>
            </w:pPr>
            <w:r>
              <w:t xml:space="preserve">Commission www.ibac.vic.gov.au  </w:t>
            </w:r>
          </w:p>
        </w:tc>
      </w:tr>
      <w:tr w:rsidR="00442AD2" w14:paraId="5F08CD0A" w14:textId="77777777">
        <w:trPr>
          <w:trHeight w:val="923"/>
        </w:trPr>
        <w:tc>
          <w:tcPr>
            <w:tcW w:w="4146" w:type="dxa"/>
            <w:tcBorders>
              <w:top w:val="single" w:sz="4" w:space="0" w:color="BFBFBF"/>
              <w:left w:val="single" w:sz="4" w:space="0" w:color="BFBFBF"/>
              <w:bottom w:val="single" w:sz="4" w:space="0" w:color="BFBFBF"/>
              <w:right w:val="single" w:sz="4" w:space="0" w:color="BFBFBF"/>
            </w:tcBorders>
            <w:shd w:val="clear" w:color="auto" w:fill="F2F2F2"/>
          </w:tcPr>
          <w:p w14:paraId="2311A140" w14:textId="77777777" w:rsidR="00442AD2" w:rsidRDefault="00B36619">
            <w:pPr>
              <w:spacing w:after="0" w:line="259" w:lineRule="auto"/>
              <w:ind w:left="0" w:firstLine="0"/>
            </w:pPr>
            <w:r>
              <w:t xml:space="preserve">Management of child safety   </w:t>
            </w:r>
          </w:p>
        </w:tc>
        <w:tc>
          <w:tcPr>
            <w:tcW w:w="4150" w:type="dxa"/>
            <w:tcBorders>
              <w:top w:val="single" w:sz="4" w:space="0" w:color="BFBFBF"/>
              <w:left w:val="single" w:sz="4" w:space="0" w:color="BFBFBF"/>
              <w:bottom w:val="single" w:sz="4" w:space="0" w:color="BFBFBF"/>
              <w:right w:val="single" w:sz="4" w:space="0" w:color="BFBFBF"/>
            </w:tcBorders>
            <w:shd w:val="clear" w:color="auto" w:fill="F2F2F2"/>
          </w:tcPr>
          <w:p w14:paraId="7663D356" w14:textId="77777777" w:rsidR="00442AD2" w:rsidRDefault="00B36619">
            <w:pPr>
              <w:spacing w:after="0" w:line="259" w:lineRule="auto"/>
              <w:ind w:left="6" w:firstLine="0"/>
            </w:pPr>
            <w:r>
              <w:t xml:space="preserve">Commission for Children and Young people via the contact option on their website: </w:t>
            </w:r>
          </w:p>
          <w:p w14:paraId="6EAF8832" w14:textId="77777777" w:rsidR="00442AD2" w:rsidRDefault="00B36619">
            <w:pPr>
              <w:spacing w:after="0" w:line="259" w:lineRule="auto"/>
              <w:ind w:left="6" w:firstLine="0"/>
            </w:pPr>
            <w:r>
              <w:t xml:space="preserve">www.contact@ccyp.vic.gov.au  </w:t>
            </w:r>
          </w:p>
        </w:tc>
      </w:tr>
      <w:tr w:rsidR="00442AD2" w14:paraId="0051B0CC" w14:textId="77777777">
        <w:trPr>
          <w:trHeight w:val="933"/>
        </w:trPr>
        <w:tc>
          <w:tcPr>
            <w:tcW w:w="4146" w:type="dxa"/>
            <w:tcBorders>
              <w:top w:val="single" w:sz="4" w:space="0" w:color="BFBFBF"/>
              <w:left w:val="single" w:sz="4" w:space="0" w:color="BFBFBF"/>
              <w:bottom w:val="single" w:sz="4" w:space="0" w:color="BFBFBF"/>
              <w:right w:val="single" w:sz="4" w:space="0" w:color="BFBFBF"/>
            </w:tcBorders>
          </w:tcPr>
          <w:p w14:paraId="6FAEE19B" w14:textId="77777777" w:rsidR="00442AD2" w:rsidRDefault="00B36619">
            <w:pPr>
              <w:spacing w:after="0" w:line="259" w:lineRule="auto"/>
              <w:ind w:left="0" w:firstLine="0"/>
            </w:pPr>
            <w:r>
              <w:t xml:space="preserve">Discrimination  </w:t>
            </w:r>
          </w:p>
        </w:tc>
        <w:tc>
          <w:tcPr>
            <w:tcW w:w="4150" w:type="dxa"/>
            <w:tcBorders>
              <w:top w:val="single" w:sz="4" w:space="0" w:color="BFBFBF"/>
              <w:left w:val="single" w:sz="4" w:space="0" w:color="BFBFBF"/>
              <w:bottom w:val="single" w:sz="4" w:space="0" w:color="BFBFBF"/>
              <w:right w:val="single" w:sz="4" w:space="0" w:color="BFBFBF"/>
            </w:tcBorders>
          </w:tcPr>
          <w:p w14:paraId="2311E382" w14:textId="77777777" w:rsidR="00442AD2" w:rsidRDefault="00B36619">
            <w:pPr>
              <w:spacing w:after="0" w:line="259" w:lineRule="auto"/>
              <w:ind w:left="6" w:firstLine="0"/>
            </w:pPr>
            <w:r>
              <w:t xml:space="preserve">Victorian Human Rights and Equal Opportunity Commission www.humanrights.vic.gov.au  </w:t>
            </w:r>
          </w:p>
        </w:tc>
      </w:tr>
      <w:tr w:rsidR="00442AD2" w14:paraId="0CB48484" w14:textId="77777777">
        <w:trPr>
          <w:trHeight w:val="633"/>
        </w:trPr>
        <w:tc>
          <w:tcPr>
            <w:tcW w:w="4146" w:type="dxa"/>
            <w:tcBorders>
              <w:top w:val="single" w:sz="4" w:space="0" w:color="BFBFBF"/>
              <w:left w:val="single" w:sz="4" w:space="0" w:color="BFBFBF"/>
              <w:bottom w:val="single" w:sz="4" w:space="0" w:color="BFBFBF"/>
              <w:right w:val="single" w:sz="4" w:space="0" w:color="BFBFBF"/>
            </w:tcBorders>
            <w:shd w:val="clear" w:color="auto" w:fill="F2F2F2"/>
          </w:tcPr>
          <w:p w14:paraId="58F828EC" w14:textId="77777777" w:rsidR="00442AD2" w:rsidRDefault="00B36619">
            <w:pPr>
              <w:spacing w:after="0" w:line="259" w:lineRule="auto"/>
              <w:ind w:left="0" w:firstLine="0"/>
            </w:pPr>
            <w:r>
              <w:t xml:space="preserve">Council elections  </w:t>
            </w:r>
          </w:p>
        </w:tc>
        <w:tc>
          <w:tcPr>
            <w:tcW w:w="4150" w:type="dxa"/>
            <w:tcBorders>
              <w:top w:val="single" w:sz="4" w:space="0" w:color="BFBFBF"/>
              <w:left w:val="single" w:sz="4" w:space="0" w:color="BFBFBF"/>
              <w:bottom w:val="single" w:sz="4" w:space="0" w:color="BFBFBF"/>
              <w:right w:val="single" w:sz="4" w:space="0" w:color="BFBFBF"/>
            </w:tcBorders>
            <w:shd w:val="clear" w:color="auto" w:fill="F2F2F2"/>
          </w:tcPr>
          <w:p w14:paraId="4346C306" w14:textId="77777777" w:rsidR="00442AD2" w:rsidRDefault="00B36619">
            <w:pPr>
              <w:spacing w:after="0" w:line="259" w:lineRule="auto"/>
              <w:ind w:left="6" w:firstLine="0"/>
            </w:pPr>
            <w:r>
              <w:t xml:space="preserve">Victorian Electoral Commission www.vec.vic.gov.au  </w:t>
            </w:r>
          </w:p>
        </w:tc>
      </w:tr>
    </w:tbl>
    <w:p w14:paraId="044C6C70" w14:textId="77777777" w:rsidR="00442AD2" w:rsidRDefault="00B36619">
      <w:pPr>
        <w:spacing w:after="196" w:line="259" w:lineRule="auto"/>
        <w:ind w:left="0" w:firstLine="0"/>
      </w:pPr>
      <w:r>
        <w:t xml:space="preserve"> </w:t>
      </w:r>
    </w:p>
    <w:p w14:paraId="02E8A5CF" w14:textId="77777777" w:rsidR="00442AD2" w:rsidRDefault="00B36619">
      <w:pPr>
        <w:pStyle w:val="Heading1"/>
        <w:spacing w:after="0"/>
        <w:ind w:left="5"/>
      </w:pPr>
      <w:r>
        <w:t xml:space="preserve">How Council learns from complaints   </w:t>
      </w:r>
    </w:p>
    <w:p w14:paraId="322DB49E" w14:textId="77777777" w:rsidR="00442AD2" w:rsidRDefault="00B36619">
      <w:pPr>
        <w:spacing w:after="0" w:line="259" w:lineRule="auto"/>
        <w:ind w:left="0" w:firstLine="0"/>
      </w:pPr>
      <w:r>
        <w:rPr>
          <w:rFonts w:ascii="Arial" w:eastAsia="Arial" w:hAnsi="Arial" w:cs="Arial"/>
        </w:rPr>
        <w:t xml:space="preserve"> </w:t>
      </w:r>
    </w:p>
    <w:p w14:paraId="1E76D0A5" w14:textId="77777777" w:rsidR="00442AD2" w:rsidRDefault="00B36619">
      <w:pPr>
        <w:spacing w:after="0"/>
        <w:ind w:left="20" w:right="4"/>
      </w:pPr>
      <w:r>
        <w:t xml:space="preserve">Complaints from the community who use or who are affected by Councils services, provide valuable feedback about how Council is performing.    </w:t>
      </w:r>
    </w:p>
    <w:p w14:paraId="4F2EF9BF" w14:textId="77777777" w:rsidR="00442AD2" w:rsidRDefault="00B36619">
      <w:pPr>
        <w:spacing w:after="0" w:line="259" w:lineRule="auto"/>
        <w:ind w:firstLine="0"/>
      </w:pPr>
      <w:r>
        <w:t xml:space="preserve">  </w:t>
      </w:r>
    </w:p>
    <w:p w14:paraId="582FE9E1" w14:textId="77777777" w:rsidR="00442AD2" w:rsidRDefault="00B36619">
      <w:pPr>
        <w:spacing w:after="0"/>
        <w:ind w:left="20" w:right="4"/>
      </w:pPr>
      <w:r>
        <w:t xml:space="preserve">Council regularly analyses complaint data to identify trends and potential issues that deserve further attention. This information allows Council to consider solutions about how services can be improved. </w:t>
      </w:r>
    </w:p>
    <w:p w14:paraId="412C403E" w14:textId="77777777" w:rsidR="00442AD2" w:rsidRDefault="00B36619">
      <w:pPr>
        <w:spacing w:after="202" w:line="259" w:lineRule="auto"/>
        <w:ind w:left="0" w:firstLine="0"/>
      </w:pPr>
      <w:r>
        <w:rPr>
          <w:rFonts w:ascii="Arial" w:eastAsia="Arial" w:hAnsi="Arial" w:cs="Arial"/>
        </w:rPr>
        <w:t xml:space="preserve"> </w:t>
      </w:r>
    </w:p>
    <w:p w14:paraId="59A96CC1" w14:textId="77777777" w:rsidR="00442AD2" w:rsidRDefault="00B36619">
      <w:pPr>
        <w:pStyle w:val="Heading1"/>
        <w:spacing w:after="0"/>
        <w:ind w:left="5"/>
      </w:pPr>
      <w:r>
        <w:t xml:space="preserve">Private Information </w:t>
      </w:r>
    </w:p>
    <w:p w14:paraId="53BE06F9" w14:textId="77777777" w:rsidR="00442AD2" w:rsidRDefault="00B36619">
      <w:pPr>
        <w:spacing w:after="0" w:line="259" w:lineRule="auto"/>
        <w:ind w:left="0" w:firstLine="0"/>
      </w:pPr>
      <w:r>
        <w:rPr>
          <w:rFonts w:ascii="Arial" w:eastAsia="Arial" w:hAnsi="Arial" w:cs="Arial"/>
        </w:rPr>
        <w:t xml:space="preserve"> </w:t>
      </w:r>
    </w:p>
    <w:p w14:paraId="3C1E56A6" w14:textId="77777777" w:rsidR="00442AD2" w:rsidRDefault="00B36619">
      <w:pPr>
        <w:spacing w:after="0"/>
        <w:ind w:left="20" w:right="4"/>
      </w:pPr>
      <w:r>
        <w:t xml:space="preserve">Personal information is kept secure. Personal Information is used to respond to the complaint and may also be used to analyse the information provided for the purpose of improving services that relate to the complaint.   </w:t>
      </w:r>
    </w:p>
    <w:p w14:paraId="72EEF020" w14:textId="77777777" w:rsidR="00442AD2" w:rsidRDefault="00B36619">
      <w:pPr>
        <w:spacing w:after="0" w:line="259" w:lineRule="auto"/>
        <w:ind w:firstLine="0"/>
      </w:pPr>
      <w:r>
        <w:t xml:space="preserve">  </w:t>
      </w:r>
    </w:p>
    <w:p w14:paraId="537EE2F3" w14:textId="77777777" w:rsidR="00442AD2" w:rsidRDefault="00B36619">
      <w:pPr>
        <w:spacing w:after="0"/>
        <w:ind w:left="20" w:right="4"/>
      </w:pPr>
      <w:r>
        <w:t xml:space="preserve">When gathering information to respond to a complaint, Council will only use it to deal with the complaint or to address systemic issues arising from the complaint.   </w:t>
      </w:r>
    </w:p>
    <w:p w14:paraId="45D570B3" w14:textId="77777777" w:rsidR="00442AD2" w:rsidRDefault="00B36619">
      <w:pPr>
        <w:spacing w:after="0" w:line="259" w:lineRule="auto"/>
        <w:ind w:firstLine="0"/>
      </w:pPr>
      <w:r>
        <w:t xml:space="preserve">  </w:t>
      </w:r>
    </w:p>
    <w:p w14:paraId="28515680" w14:textId="77777777" w:rsidR="00442AD2" w:rsidRDefault="00B36619">
      <w:pPr>
        <w:spacing w:after="154"/>
        <w:ind w:left="20" w:right="4"/>
      </w:pPr>
      <w:r>
        <w:t xml:space="preserve">The following information will be recorded for each complaint:    </w:t>
      </w:r>
    </w:p>
    <w:p w14:paraId="53702D50" w14:textId="77777777" w:rsidR="00442AD2" w:rsidRDefault="00B36619">
      <w:pPr>
        <w:numPr>
          <w:ilvl w:val="0"/>
          <w:numId w:val="6"/>
        </w:numPr>
        <w:spacing w:after="31" w:line="255" w:lineRule="auto"/>
        <w:ind w:right="4" w:hanging="360"/>
      </w:pPr>
      <w:r>
        <w:t xml:space="preserve">The complainant’s </w:t>
      </w:r>
      <w:proofErr w:type="gramStart"/>
      <w:r>
        <w:t>details</w:t>
      </w:r>
      <w:proofErr w:type="gramEnd"/>
      <w:r>
        <w:t xml:space="preserve">    </w:t>
      </w:r>
    </w:p>
    <w:p w14:paraId="1187347A" w14:textId="77777777" w:rsidR="00442AD2" w:rsidRDefault="00B36619">
      <w:pPr>
        <w:numPr>
          <w:ilvl w:val="0"/>
          <w:numId w:val="6"/>
        </w:numPr>
        <w:ind w:right="4" w:hanging="360"/>
      </w:pPr>
      <w:r>
        <w:t xml:space="preserve">How the complaint was received    </w:t>
      </w:r>
    </w:p>
    <w:p w14:paraId="0AF4DAB4" w14:textId="77777777" w:rsidR="00442AD2" w:rsidRDefault="00B36619">
      <w:pPr>
        <w:numPr>
          <w:ilvl w:val="0"/>
          <w:numId w:val="6"/>
        </w:numPr>
        <w:ind w:right="4" w:hanging="360"/>
      </w:pPr>
      <w:r>
        <w:t xml:space="preserve">A description of the complaint    </w:t>
      </w:r>
    </w:p>
    <w:p w14:paraId="6E76EF93" w14:textId="77777777" w:rsidR="00442AD2" w:rsidRDefault="00B36619">
      <w:pPr>
        <w:numPr>
          <w:ilvl w:val="0"/>
          <w:numId w:val="6"/>
        </w:numPr>
        <w:spacing w:after="31" w:line="255" w:lineRule="auto"/>
        <w:ind w:right="4" w:hanging="360"/>
      </w:pPr>
      <w:r>
        <w:lastRenderedPageBreak/>
        <w:t xml:space="preserve">The complainant’s desired outcome (if known)    </w:t>
      </w:r>
    </w:p>
    <w:p w14:paraId="63D1BF7B" w14:textId="77777777" w:rsidR="00442AD2" w:rsidRDefault="00B36619">
      <w:pPr>
        <w:numPr>
          <w:ilvl w:val="0"/>
          <w:numId w:val="6"/>
        </w:numPr>
        <w:ind w:right="4" w:hanging="360"/>
      </w:pPr>
      <w:r>
        <w:t xml:space="preserve">The Council Officer responsible for handling the </w:t>
      </w:r>
      <w:proofErr w:type="gramStart"/>
      <w:r>
        <w:t>complaint</w:t>
      </w:r>
      <w:proofErr w:type="gramEnd"/>
      <w:r>
        <w:t xml:space="preserve">    </w:t>
      </w:r>
    </w:p>
    <w:p w14:paraId="00ABACE0" w14:textId="77777777" w:rsidR="00442AD2" w:rsidRDefault="00B36619">
      <w:pPr>
        <w:numPr>
          <w:ilvl w:val="0"/>
          <w:numId w:val="6"/>
        </w:numPr>
        <w:ind w:right="4" w:hanging="360"/>
      </w:pPr>
      <w:r>
        <w:t xml:space="preserve">Any action taken, including contact with the complainant, response times and the </w:t>
      </w:r>
      <w:proofErr w:type="gramStart"/>
      <w:r>
        <w:t>outcome</w:t>
      </w:r>
      <w:proofErr w:type="gramEnd"/>
      <w:r>
        <w:t xml:space="preserve">    </w:t>
      </w:r>
    </w:p>
    <w:p w14:paraId="5513C306" w14:textId="77777777" w:rsidR="00442AD2" w:rsidRDefault="00B36619">
      <w:pPr>
        <w:numPr>
          <w:ilvl w:val="0"/>
          <w:numId w:val="6"/>
        </w:numPr>
        <w:spacing w:after="95"/>
        <w:ind w:right="4" w:hanging="360"/>
      </w:pPr>
      <w:r>
        <w:t xml:space="preserve">Any recommendations for improvement, and who is responsible for implementing them.    </w:t>
      </w:r>
    </w:p>
    <w:p w14:paraId="722D991D" w14:textId="77777777" w:rsidR="00442AD2" w:rsidRDefault="00B36619">
      <w:pPr>
        <w:spacing w:after="75"/>
        <w:ind w:left="20" w:right="4"/>
      </w:pPr>
      <w:r>
        <w:t xml:space="preserve">Where complaint data is published, personal information is removed.   </w:t>
      </w:r>
    </w:p>
    <w:p w14:paraId="5A57F454" w14:textId="77777777" w:rsidR="00442AD2" w:rsidRDefault="00B36619">
      <w:pPr>
        <w:spacing w:after="122" w:line="259" w:lineRule="auto"/>
        <w:ind w:left="15" w:firstLine="0"/>
      </w:pPr>
      <w:r>
        <w:rPr>
          <w:rFonts w:ascii="Arial" w:eastAsia="Arial" w:hAnsi="Arial" w:cs="Arial"/>
        </w:rPr>
        <w:t xml:space="preserve">  </w:t>
      </w:r>
    </w:p>
    <w:p w14:paraId="7B453206" w14:textId="77777777" w:rsidR="00442AD2" w:rsidRDefault="00B36619">
      <w:pPr>
        <w:spacing w:after="0" w:line="259" w:lineRule="auto"/>
        <w:ind w:left="0" w:firstLine="0"/>
      </w:pPr>
      <w:r>
        <w:t xml:space="preserve"> </w:t>
      </w:r>
    </w:p>
    <w:sectPr w:rsidR="00442AD2">
      <w:headerReference w:type="even" r:id="rId16"/>
      <w:headerReference w:type="default" r:id="rId17"/>
      <w:footerReference w:type="even" r:id="rId18"/>
      <w:footerReference w:type="default" r:id="rId19"/>
      <w:headerReference w:type="first" r:id="rId20"/>
      <w:footerReference w:type="first" r:id="rId21"/>
      <w:pgSz w:w="11905" w:h="16840"/>
      <w:pgMar w:top="2721" w:right="1431" w:bottom="2282" w:left="1441" w:header="720" w:footer="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2F39" w14:textId="77777777" w:rsidR="00D714A7" w:rsidRDefault="00D714A7">
      <w:pPr>
        <w:spacing w:after="0" w:line="240" w:lineRule="auto"/>
      </w:pPr>
      <w:r>
        <w:separator/>
      </w:r>
    </w:p>
  </w:endnote>
  <w:endnote w:type="continuationSeparator" w:id="0">
    <w:p w14:paraId="7AB0320F" w14:textId="77777777" w:rsidR="00D714A7" w:rsidRDefault="00D7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3D1D" w14:textId="77777777" w:rsidR="00442AD2" w:rsidRDefault="00B36619">
    <w:pPr>
      <w:spacing w:after="114" w:line="259" w:lineRule="auto"/>
      <w:ind w:left="0" w:right="-45" w:firstLine="0"/>
      <w:jc w:val="right"/>
    </w:pPr>
    <w:r>
      <w:t xml:space="preserve"> </w:t>
    </w:r>
  </w:p>
  <w:p w14:paraId="449D5934" w14:textId="77777777" w:rsidR="00442AD2" w:rsidRDefault="00B36619">
    <w:pPr>
      <w:tabs>
        <w:tab w:val="center" w:pos="2826"/>
        <w:tab w:val="center" w:pos="5087"/>
        <w:tab w:val="right" w:pos="9033"/>
      </w:tabs>
      <w:spacing w:after="220" w:line="259" w:lineRule="auto"/>
      <w:ind w:left="0" w:right="-29" w:firstLine="0"/>
    </w:pPr>
    <w:r>
      <w:t xml:space="preserve">Date of Adoption </w:t>
    </w:r>
    <w:r>
      <w:tab/>
      <w:t xml:space="preserve">Next Review Date </w:t>
    </w:r>
    <w:r>
      <w:tab/>
      <w:t xml:space="preserve">Directorate Responsible </w:t>
    </w:r>
    <w:r>
      <w:tab/>
      <w:t xml:space="preserve">Department Responsible </w:t>
    </w:r>
  </w:p>
  <w:p w14:paraId="6373E74C" w14:textId="77777777" w:rsidR="00442AD2" w:rsidRDefault="00B36619">
    <w:pPr>
      <w:spacing w:after="0" w:line="259" w:lineRule="auto"/>
      <w:ind w:left="1024" w:firstLine="0"/>
      <w:jc w:val="center"/>
    </w:pPr>
    <w:r>
      <w:rPr>
        <w:color w:val="0070C0"/>
      </w:rPr>
      <w:t xml:space="preserve">Customer &amp; Corporate </w:t>
    </w:r>
  </w:p>
  <w:p w14:paraId="707D2C6B" w14:textId="77777777" w:rsidR="00442AD2" w:rsidRDefault="00B36619">
    <w:pPr>
      <w:tabs>
        <w:tab w:val="center" w:pos="2739"/>
        <w:tab w:val="center" w:pos="7805"/>
      </w:tabs>
      <w:spacing w:after="0" w:line="259" w:lineRule="auto"/>
      <w:ind w:left="0" w:firstLine="0"/>
    </w:pPr>
    <w:r>
      <w:rPr>
        <w:color w:val="0070C0"/>
      </w:rPr>
      <w:t xml:space="preserve">December 2024 </w:t>
    </w:r>
    <w:r>
      <w:rPr>
        <w:color w:val="0070C0"/>
      </w:rPr>
      <w:tab/>
      <w:t xml:space="preserve">December 2028 </w:t>
    </w:r>
    <w:r>
      <w:rPr>
        <w:color w:val="0070C0"/>
      </w:rPr>
      <w:tab/>
      <w:t xml:space="preserve">Customer Experience </w:t>
    </w:r>
  </w:p>
  <w:p w14:paraId="0D1DEE99" w14:textId="77777777" w:rsidR="00442AD2" w:rsidRDefault="00B36619">
    <w:pPr>
      <w:spacing w:after="95" w:line="259" w:lineRule="auto"/>
      <w:ind w:left="0" w:right="274" w:firstLine="0"/>
      <w:jc w:val="center"/>
    </w:pPr>
    <w:r>
      <w:rPr>
        <w:color w:val="0070C0"/>
      </w:rPr>
      <w:t xml:space="preserve">Services </w:t>
    </w:r>
  </w:p>
  <w:p w14:paraId="50572272" w14:textId="77777777" w:rsidR="00442AD2" w:rsidRDefault="00B36619">
    <w:pPr>
      <w:spacing w:after="0" w:line="259" w:lineRule="auto"/>
      <w:ind w:left="0" w:firstLine="0"/>
    </w:pPr>
    <w:r>
      <w:t xml:space="preserve"> </w:t>
    </w:r>
  </w:p>
  <w:p w14:paraId="39D15877" w14:textId="77777777" w:rsidR="00442AD2" w:rsidRDefault="00B36619">
    <w:pPr>
      <w:spacing w:after="0" w:line="259" w:lineRule="auto"/>
      <w:ind w:left="0" w:right="3" w:firstLine="0"/>
      <w:jc w:val="right"/>
    </w:pPr>
    <w:r>
      <w:t xml:space="preserve">Page </w:t>
    </w:r>
    <w:r>
      <w:fldChar w:fldCharType="begin"/>
    </w:r>
    <w:r>
      <w:instrText xml:space="preserve"> PAGE   \* MERGEFORMAT </w:instrText>
    </w:r>
    <w:r>
      <w:fldChar w:fldCharType="separate"/>
    </w:r>
    <w:r>
      <w:t>1</w:t>
    </w:r>
    <w:r>
      <w:fldChar w:fldCharType="end"/>
    </w:r>
    <w:r>
      <w:t xml:space="preserve"> of </w:t>
    </w:r>
    <w:r w:rsidR="00AB1954">
      <w:fldChar w:fldCharType="begin"/>
    </w:r>
    <w:r w:rsidR="00AB1954">
      <w:instrText xml:space="preserve"> NUMPAGES   \* MERGEFORMAT </w:instrText>
    </w:r>
    <w:r w:rsidR="00AB1954">
      <w:fldChar w:fldCharType="separate"/>
    </w:r>
    <w:r>
      <w:t>6</w:t>
    </w:r>
    <w:r w:rsidR="00AB1954">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05B7" w14:textId="77777777" w:rsidR="00442AD2" w:rsidRDefault="00B36619">
    <w:pPr>
      <w:spacing w:after="114" w:line="259" w:lineRule="auto"/>
      <w:ind w:left="0" w:right="-45" w:firstLine="0"/>
      <w:jc w:val="right"/>
    </w:pPr>
    <w:r>
      <w:t xml:space="preserve"> </w:t>
    </w:r>
  </w:p>
  <w:p w14:paraId="02950B09" w14:textId="77777777" w:rsidR="00442AD2" w:rsidRDefault="00B36619">
    <w:pPr>
      <w:tabs>
        <w:tab w:val="center" w:pos="2826"/>
        <w:tab w:val="center" w:pos="5087"/>
        <w:tab w:val="right" w:pos="9033"/>
      </w:tabs>
      <w:spacing w:after="220" w:line="259" w:lineRule="auto"/>
      <w:ind w:left="0" w:right="-29" w:firstLine="0"/>
    </w:pPr>
    <w:r>
      <w:t xml:space="preserve">Date of Adoption </w:t>
    </w:r>
    <w:r>
      <w:tab/>
      <w:t xml:space="preserve">Next Review Date </w:t>
    </w:r>
    <w:r>
      <w:tab/>
      <w:t xml:space="preserve">Directorate Responsible </w:t>
    </w:r>
    <w:r>
      <w:tab/>
      <w:t xml:space="preserve">Department Responsible </w:t>
    </w:r>
  </w:p>
  <w:p w14:paraId="2AD50BAC" w14:textId="77777777" w:rsidR="00442AD2" w:rsidRDefault="00B36619">
    <w:pPr>
      <w:spacing w:after="0" w:line="259" w:lineRule="auto"/>
      <w:ind w:left="1024" w:firstLine="0"/>
      <w:jc w:val="center"/>
    </w:pPr>
    <w:r>
      <w:rPr>
        <w:color w:val="0070C0"/>
      </w:rPr>
      <w:t xml:space="preserve">Customer &amp; Corporate </w:t>
    </w:r>
  </w:p>
  <w:p w14:paraId="4A2D9031" w14:textId="77777777" w:rsidR="00442AD2" w:rsidRDefault="00B36619">
    <w:pPr>
      <w:tabs>
        <w:tab w:val="center" w:pos="2739"/>
        <w:tab w:val="center" w:pos="7805"/>
      </w:tabs>
      <w:spacing w:after="0" w:line="259" w:lineRule="auto"/>
      <w:ind w:left="0" w:firstLine="0"/>
    </w:pPr>
    <w:r>
      <w:rPr>
        <w:color w:val="0070C0"/>
      </w:rPr>
      <w:t xml:space="preserve">December 2024 </w:t>
    </w:r>
    <w:r>
      <w:rPr>
        <w:color w:val="0070C0"/>
      </w:rPr>
      <w:tab/>
      <w:t xml:space="preserve">December 2028 </w:t>
    </w:r>
    <w:r>
      <w:rPr>
        <w:color w:val="0070C0"/>
      </w:rPr>
      <w:tab/>
      <w:t xml:space="preserve">Customer Experience </w:t>
    </w:r>
  </w:p>
  <w:p w14:paraId="510175F3" w14:textId="77777777" w:rsidR="00442AD2" w:rsidRDefault="00B36619">
    <w:pPr>
      <w:spacing w:after="95" w:line="259" w:lineRule="auto"/>
      <w:ind w:left="0" w:right="274" w:firstLine="0"/>
      <w:jc w:val="center"/>
    </w:pPr>
    <w:r>
      <w:rPr>
        <w:color w:val="0070C0"/>
      </w:rPr>
      <w:t xml:space="preserve">Services </w:t>
    </w:r>
  </w:p>
  <w:p w14:paraId="4016D66D" w14:textId="77777777" w:rsidR="00442AD2" w:rsidRDefault="00B36619">
    <w:pPr>
      <w:spacing w:after="0" w:line="259" w:lineRule="auto"/>
      <w:ind w:left="0" w:firstLine="0"/>
    </w:pPr>
    <w:r>
      <w:t xml:space="preserve"> </w:t>
    </w:r>
  </w:p>
  <w:p w14:paraId="472CE3B2" w14:textId="77777777" w:rsidR="00442AD2" w:rsidRDefault="00B36619">
    <w:pPr>
      <w:spacing w:after="0" w:line="259" w:lineRule="auto"/>
      <w:ind w:left="0" w:right="3" w:firstLine="0"/>
      <w:jc w:val="right"/>
    </w:pPr>
    <w:r>
      <w:t xml:space="preserve">Page </w:t>
    </w:r>
    <w:r>
      <w:fldChar w:fldCharType="begin"/>
    </w:r>
    <w:r>
      <w:instrText xml:space="preserve"> PAGE   \* MERGEFORMAT </w:instrText>
    </w:r>
    <w:r>
      <w:fldChar w:fldCharType="separate"/>
    </w:r>
    <w:r>
      <w:t>1</w:t>
    </w:r>
    <w:r>
      <w:fldChar w:fldCharType="end"/>
    </w:r>
    <w:r>
      <w:t xml:space="preserve"> of </w:t>
    </w:r>
    <w:r w:rsidR="00AB1954">
      <w:fldChar w:fldCharType="begin"/>
    </w:r>
    <w:r w:rsidR="00AB1954">
      <w:instrText xml:space="preserve"> NUMPAGES   \* MERGEFORMAT </w:instrText>
    </w:r>
    <w:r w:rsidR="00AB1954">
      <w:fldChar w:fldCharType="separate"/>
    </w:r>
    <w:r>
      <w:t>6</w:t>
    </w:r>
    <w:r w:rsidR="00AB1954">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D92A" w14:textId="77777777" w:rsidR="00442AD2" w:rsidRDefault="00B36619">
    <w:pPr>
      <w:spacing w:after="114" w:line="259" w:lineRule="auto"/>
      <w:ind w:left="0" w:right="-45" w:firstLine="0"/>
      <w:jc w:val="right"/>
    </w:pPr>
    <w:r>
      <w:t xml:space="preserve"> </w:t>
    </w:r>
  </w:p>
  <w:p w14:paraId="4E840BDB" w14:textId="77777777" w:rsidR="00442AD2" w:rsidRDefault="00B36619">
    <w:pPr>
      <w:tabs>
        <w:tab w:val="center" w:pos="2826"/>
        <w:tab w:val="center" w:pos="5087"/>
        <w:tab w:val="right" w:pos="9033"/>
      </w:tabs>
      <w:spacing w:after="220" w:line="259" w:lineRule="auto"/>
      <w:ind w:left="0" w:right="-29" w:firstLine="0"/>
    </w:pPr>
    <w:r>
      <w:t xml:space="preserve">Date of Adoption </w:t>
    </w:r>
    <w:r>
      <w:tab/>
      <w:t xml:space="preserve">Next Review Date </w:t>
    </w:r>
    <w:r>
      <w:tab/>
      <w:t xml:space="preserve">Directorate Responsible </w:t>
    </w:r>
    <w:r>
      <w:tab/>
      <w:t xml:space="preserve">Department Responsible </w:t>
    </w:r>
  </w:p>
  <w:p w14:paraId="3AC7A41B" w14:textId="77777777" w:rsidR="00442AD2" w:rsidRDefault="00B36619">
    <w:pPr>
      <w:spacing w:after="0" w:line="259" w:lineRule="auto"/>
      <w:ind w:left="1024" w:firstLine="0"/>
      <w:jc w:val="center"/>
    </w:pPr>
    <w:r>
      <w:rPr>
        <w:color w:val="0070C0"/>
      </w:rPr>
      <w:t xml:space="preserve">Customer &amp; Corporate </w:t>
    </w:r>
  </w:p>
  <w:p w14:paraId="17EF6798" w14:textId="77777777" w:rsidR="00442AD2" w:rsidRDefault="00B36619">
    <w:pPr>
      <w:tabs>
        <w:tab w:val="center" w:pos="2739"/>
        <w:tab w:val="center" w:pos="7805"/>
      </w:tabs>
      <w:spacing w:after="0" w:line="259" w:lineRule="auto"/>
      <w:ind w:left="0" w:firstLine="0"/>
    </w:pPr>
    <w:r>
      <w:rPr>
        <w:color w:val="0070C0"/>
      </w:rPr>
      <w:t xml:space="preserve">December 2024 </w:t>
    </w:r>
    <w:r>
      <w:rPr>
        <w:color w:val="0070C0"/>
      </w:rPr>
      <w:tab/>
      <w:t xml:space="preserve">December 2028 </w:t>
    </w:r>
    <w:r>
      <w:rPr>
        <w:color w:val="0070C0"/>
      </w:rPr>
      <w:tab/>
      <w:t xml:space="preserve">Customer Experience </w:t>
    </w:r>
  </w:p>
  <w:p w14:paraId="5665E625" w14:textId="77777777" w:rsidR="00442AD2" w:rsidRDefault="00B36619">
    <w:pPr>
      <w:spacing w:after="95" w:line="259" w:lineRule="auto"/>
      <w:ind w:left="0" w:right="274" w:firstLine="0"/>
      <w:jc w:val="center"/>
    </w:pPr>
    <w:r>
      <w:rPr>
        <w:color w:val="0070C0"/>
      </w:rPr>
      <w:t xml:space="preserve">Services </w:t>
    </w:r>
  </w:p>
  <w:p w14:paraId="1E3AEE90" w14:textId="77777777" w:rsidR="00442AD2" w:rsidRDefault="00B36619">
    <w:pPr>
      <w:spacing w:after="0" w:line="259" w:lineRule="auto"/>
      <w:ind w:left="0" w:firstLine="0"/>
    </w:pPr>
    <w:r>
      <w:t xml:space="preserve"> </w:t>
    </w:r>
  </w:p>
  <w:p w14:paraId="55DECAFA" w14:textId="77777777" w:rsidR="00442AD2" w:rsidRDefault="00B36619">
    <w:pPr>
      <w:spacing w:after="0" w:line="259" w:lineRule="auto"/>
      <w:ind w:left="0" w:right="3" w:firstLine="0"/>
      <w:jc w:val="right"/>
    </w:pPr>
    <w:r>
      <w:t xml:space="preserve">Page </w:t>
    </w:r>
    <w:r>
      <w:fldChar w:fldCharType="begin"/>
    </w:r>
    <w:r>
      <w:instrText xml:space="preserve"> PAGE   \* MERGEFORMAT </w:instrText>
    </w:r>
    <w:r>
      <w:fldChar w:fldCharType="separate"/>
    </w:r>
    <w:r>
      <w:t>1</w:t>
    </w:r>
    <w:r>
      <w:fldChar w:fldCharType="end"/>
    </w:r>
    <w:r>
      <w:t xml:space="preserve"> of </w:t>
    </w:r>
    <w:r w:rsidR="00AB1954">
      <w:fldChar w:fldCharType="begin"/>
    </w:r>
    <w:r w:rsidR="00AB1954">
      <w:instrText xml:space="preserve"> NUMPAGES   \* MERGEFORMAT </w:instrText>
    </w:r>
    <w:r w:rsidR="00AB1954">
      <w:fldChar w:fldCharType="separate"/>
    </w:r>
    <w:r>
      <w:t>6</w:t>
    </w:r>
    <w:r w:rsidR="00AB1954">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025D0" w14:textId="77777777" w:rsidR="00D714A7" w:rsidRDefault="00D714A7">
      <w:pPr>
        <w:spacing w:after="0" w:line="240" w:lineRule="auto"/>
      </w:pPr>
      <w:r>
        <w:separator/>
      </w:r>
    </w:p>
  </w:footnote>
  <w:footnote w:type="continuationSeparator" w:id="0">
    <w:p w14:paraId="36A42953" w14:textId="77777777" w:rsidR="00D714A7" w:rsidRDefault="00D71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F338" w14:textId="77777777" w:rsidR="00442AD2" w:rsidRDefault="00B36619">
    <w:pPr>
      <w:spacing w:after="0" w:line="259" w:lineRule="auto"/>
      <w:ind w:left="0" w:firstLine="0"/>
    </w:pPr>
    <w:r>
      <w:rPr>
        <w:noProof/>
      </w:rPr>
      <w:drawing>
        <wp:anchor distT="0" distB="0" distL="114300" distR="114300" simplePos="0" relativeHeight="251658240" behindDoc="0" locked="0" layoutInCell="1" allowOverlap="0" wp14:anchorId="31C1E43C" wp14:editId="765D978D">
          <wp:simplePos x="0" y="0"/>
          <wp:positionH relativeFrom="page">
            <wp:posOffset>0</wp:posOffset>
          </wp:positionH>
          <wp:positionV relativeFrom="page">
            <wp:posOffset>0</wp:posOffset>
          </wp:positionV>
          <wp:extent cx="7217664" cy="1572768"/>
          <wp:effectExtent l="0" t="0" r="0" b="0"/>
          <wp:wrapSquare wrapText="bothSides"/>
          <wp:docPr id="7465" name="Picture 7465"/>
          <wp:cNvGraphicFramePr/>
          <a:graphic xmlns:a="http://schemas.openxmlformats.org/drawingml/2006/main">
            <a:graphicData uri="http://schemas.openxmlformats.org/drawingml/2006/picture">
              <pic:pic xmlns:pic="http://schemas.openxmlformats.org/drawingml/2006/picture">
                <pic:nvPicPr>
                  <pic:cNvPr id="7465" name="Picture 7465"/>
                  <pic:cNvPicPr/>
                </pic:nvPicPr>
                <pic:blipFill>
                  <a:blip r:embed="rId1"/>
                  <a:stretch>
                    <a:fillRect/>
                  </a:stretch>
                </pic:blipFill>
                <pic:spPr>
                  <a:xfrm>
                    <a:off x="0" y="0"/>
                    <a:ext cx="7217664" cy="1572768"/>
                  </a:xfrm>
                  <a:prstGeom prst="rect">
                    <a:avLst/>
                  </a:prstGeom>
                </pic:spPr>
              </pic:pic>
            </a:graphicData>
          </a:graphic>
        </wp:anchor>
      </w:drawing>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3817" w14:textId="77777777" w:rsidR="00442AD2" w:rsidRDefault="00B36619">
    <w:pPr>
      <w:spacing w:after="0" w:line="259" w:lineRule="auto"/>
      <w:ind w:left="0" w:firstLine="0"/>
    </w:pPr>
    <w:r>
      <w:rPr>
        <w:noProof/>
      </w:rPr>
      <w:drawing>
        <wp:anchor distT="0" distB="0" distL="114300" distR="114300" simplePos="0" relativeHeight="251659264" behindDoc="0" locked="0" layoutInCell="1" allowOverlap="0" wp14:anchorId="7F8C008B" wp14:editId="38FDCC4F">
          <wp:simplePos x="0" y="0"/>
          <wp:positionH relativeFrom="page">
            <wp:posOffset>0</wp:posOffset>
          </wp:positionH>
          <wp:positionV relativeFrom="page">
            <wp:posOffset>0</wp:posOffset>
          </wp:positionV>
          <wp:extent cx="7217664" cy="157276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465" name="Picture 7465"/>
                  <pic:cNvPicPr/>
                </pic:nvPicPr>
                <pic:blipFill>
                  <a:blip r:embed="rId1"/>
                  <a:stretch>
                    <a:fillRect/>
                  </a:stretch>
                </pic:blipFill>
                <pic:spPr>
                  <a:xfrm>
                    <a:off x="0" y="0"/>
                    <a:ext cx="7217664" cy="1572768"/>
                  </a:xfrm>
                  <a:prstGeom prst="rect">
                    <a:avLst/>
                  </a:prstGeom>
                </pic:spPr>
              </pic:pic>
            </a:graphicData>
          </a:graphic>
        </wp:anchor>
      </w:drawing>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E407" w14:textId="77777777" w:rsidR="00442AD2" w:rsidRDefault="00B36619">
    <w:pPr>
      <w:spacing w:after="0" w:line="259" w:lineRule="auto"/>
      <w:ind w:left="0" w:firstLine="0"/>
    </w:pPr>
    <w:r>
      <w:rPr>
        <w:noProof/>
      </w:rPr>
      <w:drawing>
        <wp:anchor distT="0" distB="0" distL="114300" distR="114300" simplePos="0" relativeHeight="251660288" behindDoc="0" locked="0" layoutInCell="1" allowOverlap="0" wp14:anchorId="7B93B741" wp14:editId="6CEA4088">
          <wp:simplePos x="0" y="0"/>
          <wp:positionH relativeFrom="page">
            <wp:posOffset>0</wp:posOffset>
          </wp:positionH>
          <wp:positionV relativeFrom="page">
            <wp:posOffset>0</wp:posOffset>
          </wp:positionV>
          <wp:extent cx="7217664" cy="157276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465" name="Picture 7465"/>
                  <pic:cNvPicPr/>
                </pic:nvPicPr>
                <pic:blipFill>
                  <a:blip r:embed="rId1"/>
                  <a:stretch>
                    <a:fillRect/>
                  </a:stretch>
                </pic:blipFill>
                <pic:spPr>
                  <a:xfrm>
                    <a:off x="0" y="0"/>
                    <a:ext cx="7217664" cy="1572768"/>
                  </a:xfrm>
                  <a:prstGeom prst="rect">
                    <a:avLst/>
                  </a:prstGeom>
                </pic:spPr>
              </pic:pic>
            </a:graphicData>
          </a:graphic>
        </wp:anchor>
      </w:drawing>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43F0"/>
    <w:multiLevelType w:val="hybridMultilevel"/>
    <w:tmpl w:val="44363CB4"/>
    <w:lvl w:ilvl="0" w:tplc="34BA54A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60CF60">
      <w:start w:val="1"/>
      <w:numFmt w:val="bullet"/>
      <w:lvlText w:val="o"/>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902A9E">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748414">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9661D4">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FC9E7C">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58083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DA6B8A">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A09DD0">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7755BF9"/>
    <w:multiLevelType w:val="hybridMultilevel"/>
    <w:tmpl w:val="4F584242"/>
    <w:lvl w:ilvl="0" w:tplc="68BA1814">
      <w:start w:val="1"/>
      <w:numFmt w:val="bullet"/>
      <w:lvlText w:val="•"/>
      <w:lvlJc w:val="left"/>
      <w:pPr>
        <w:ind w:left="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AC9BF2">
      <w:start w:val="1"/>
      <w:numFmt w:val="bullet"/>
      <w:lvlText w:val="o"/>
      <w:lvlJc w:val="left"/>
      <w:pPr>
        <w:ind w:left="1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F20DCE">
      <w:start w:val="1"/>
      <w:numFmt w:val="bullet"/>
      <w:lvlText w:val="▪"/>
      <w:lvlJc w:val="left"/>
      <w:pPr>
        <w:ind w:left="2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20E9F2">
      <w:start w:val="1"/>
      <w:numFmt w:val="bullet"/>
      <w:lvlText w:val="•"/>
      <w:lvlJc w:val="left"/>
      <w:pPr>
        <w:ind w:left="2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BA85BC">
      <w:start w:val="1"/>
      <w:numFmt w:val="bullet"/>
      <w:lvlText w:val="o"/>
      <w:lvlJc w:val="left"/>
      <w:pPr>
        <w:ind w:left="3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A4AF74">
      <w:start w:val="1"/>
      <w:numFmt w:val="bullet"/>
      <w:lvlText w:val="▪"/>
      <w:lvlJc w:val="left"/>
      <w:pPr>
        <w:ind w:left="4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84F816">
      <w:start w:val="1"/>
      <w:numFmt w:val="bullet"/>
      <w:lvlText w:val="•"/>
      <w:lvlJc w:val="left"/>
      <w:pPr>
        <w:ind w:left="5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B06CEC">
      <w:start w:val="1"/>
      <w:numFmt w:val="bullet"/>
      <w:lvlText w:val="o"/>
      <w:lvlJc w:val="left"/>
      <w:pPr>
        <w:ind w:left="5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08F4DC">
      <w:start w:val="1"/>
      <w:numFmt w:val="bullet"/>
      <w:lvlText w:val="▪"/>
      <w:lvlJc w:val="left"/>
      <w:pPr>
        <w:ind w:left="6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F9D3428"/>
    <w:multiLevelType w:val="hybridMultilevel"/>
    <w:tmpl w:val="3EE67484"/>
    <w:lvl w:ilvl="0" w:tplc="8D683D40">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1E2774">
      <w:start w:val="1"/>
      <w:numFmt w:val="bullet"/>
      <w:lvlText w:val="o"/>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58ABDC">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F0C222">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B8BC26">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02EBCA">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F46E5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DC4BD6">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5625C4">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EBA4C51"/>
    <w:multiLevelType w:val="hybridMultilevel"/>
    <w:tmpl w:val="27AAFB5C"/>
    <w:lvl w:ilvl="0" w:tplc="A8B0DF2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368E5A">
      <w:start w:val="1"/>
      <w:numFmt w:val="bullet"/>
      <w:lvlText w:val="o"/>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D09F1A">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7C3AE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8644FC">
      <w:start w:val="1"/>
      <w:numFmt w:val="bullet"/>
      <w:lvlText w:val="o"/>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428A52">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38BBD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6F3D6">
      <w:start w:val="1"/>
      <w:numFmt w:val="bullet"/>
      <w:lvlText w:val="o"/>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142F86">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B410B6"/>
    <w:multiLevelType w:val="hybridMultilevel"/>
    <w:tmpl w:val="A9B63556"/>
    <w:lvl w:ilvl="0" w:tplc="82CC51B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4CE818">
      <w:start w:val="1"/>
      <w:numFmt w:val="bullet"/>
      <w:lvlText w:val="o"/>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4019EC">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E88E4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FC6AD6">
      <w:start w:val="1"/>
      <w:numFmt w:val="bullet"/>
      <w:lvlText w:val="o"/>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829AB6">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64675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E81466">
      <w:start w:val="1"/>
      <w:numFmt w:val="bullet"/>
      <w:lvlText w:val="o"/>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46108E">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B975899"/>
    <w:multiLevelType w:val="hybridMultilevel"/>
    <w:tmpl w:val="7856E460"/>
    <w:lvl w:ilvl="0" w:tplc="BF12CD4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40A8E2">
      <w:start w:val="1"/>
      <w:numFmt w:val="bullet"/>
      <w:lvlText w:val="o"/>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E28920">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2AA4C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549396">
      <w:start w:val="1"/>
      <w:numFmt w:val="bullet"/>
      <w:lvlText w:val="o"/>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76BE4A">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A01A9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4AB70">
      <w:start w:val="1"/>
      <w:numFmt w:val="bullet"/>
      <w:lvlText w:val="o"/>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5CED24">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125804678">
    <w:abstractNumId w:val="1"/>
  </w:num>
  <w:num w:numId="2" w16cid:durableId="316493837">
    <w:abstractNumId w:val="2"/>
  </w:num>
  <w:num w:numId="3" w16cid:durableId="1254241979">
    <w:abstractNumId w:val="0"/>
  </w:num>
  <w:num w:numId="4" w16cid:durableId="1230968313">
    <w:abstractNumId w:val="4"/>
  </w:num>
  <w:num w:numId="5" w16cid:durableId="1143817760">
    <w:abstractNumId w:val="5"/>
  </w:num>
  <w:num w:numId="6" w16cid:durableId="1561669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AD2"/>
    <w:rsid w:val="00277715"/>
    <w:rsid w:val="00442AD2"/>
    <w:rsid w:val="005522EA"/>
    <w:rsid w:val="00AB1954"/>
    <w:rsid w:val="00B36619"/>
    <w:rsid w:val="00D714A7"/>
    <w:rsid w:val="00FF5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D087"/>
  <w15:docId w15:val="{E817D0DF-A957-47AD-9527-97D1A5C5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76"/>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F5732"/>
    <w:rPr>
      <w:color w:val="0563C1" w:themeColor="hyperlink"/>
      <w:u w:val="single"/>
    </w:rPr>
  </w:style>
  <w:style w:type="character" w:styleId="UnresolvedMention">
    <w:name w:val="Unresolved Mention"/>
    <w:basedOn w:val="DefaultParagraphFont"/>
    <w:uiPriority w:val="99"/>
    <w:semiHidden/>
    <w:unhideWhenUsed/>
    <w:rsid w:val="00FF5732"/>
    <w:rPr>
      <w:color w:val="605E5C"/>
      <w:shd w:val="clear" w:color="auto" w:fill="E1DFDD"/>
    </w:rPr>
  </w:style>
  <w:style w:type="paragraph" w:styleId="Revision">
    <w:name w:val="Revision"/>
    <w:hidden/>
    <w:uiPriority w:val="99"/>
    <w:semiHidden/>
    <w:rsid w:val="00AB195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hittlesea.vic.gov.au/Services/Support-for-people/Children-and-families/Child-safety/Child-Safe-Policy" TargetMode="External"/><Relationship Id="rId13" Type="http://schemas.openxmlformats.org/officeDocument/2006/relationships/hyperlink" Target="https://whittlesea.sharepoint.com/sites/teams_dept_peo/SitePages/Child-Safety.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hittlesea.sharepoint.com/sites/teams_dept_peo/SitePages/Child-Safety.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ittlesea.vic.gov.au/Services/Support-for-people/Children-and-families/Child-safety/Child-Safe-Policy" TargetMode="External"/><Relationship Id="rId5" Type="http://schemas.openxmlformats.org/officeDocument/2006/relationships/webSettings" Target="webSettings.xml"/><Relationship Id="rId15" Type="http://schemas.openxmlformats.org/officeDocument/2006/relationships/hyperlink" Target="mailto:pid@whittlesea.vic.gov.au" TargetMode="External"/><Relationship Id="rId23" Type="http://schemas.openxmlformats.org/officeDocument/2006/relationships/theme" Target="theme/theme1.xml"/><Relationship Id="rId10" Type="http://schemas.openxmlformats.org/officeDocument/2006/relationships/hyperlink" Target="https://www.whittlesea.vic.gov.au/Services/Support-for-people/Children-and-families/Child-safety/Child-Safe-Polic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hittlesea.vic.gov.au/Services/Support-for-people/Children-and-families/Child-safety/Child-Safe-Policy" TargetMode="External"/><Relationship Id="rId14" Type="http://schemas.openxmlformats.org/officeDocument/2006/relationships/hyperlink" Target="https://whittlesea.sharepoint.com/sites/teams_dept_peo/SitePages/Child-Safety.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6DA8-2DC5-496F-B861-76E45F24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1821</Words>
  <Characters>10383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Destan</dc:creator>
  <cp:keywords/>
  <cp:lastModifiedBy>Tarna Johnson</cp:lastModifiedBy>
  <cp:revision>2</cp:revision>
  <dcterms:created xsi:type="dcterms:W3CDTF">2025-03-06T00:03:00Z</dcterms:created>
  <dcterms:modified xsi:type="dcterms:W3CDTF">2025-03-06T00:03:00Z</dcterms:modified>
</cp:coreProperties>
</file>